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43D63" w14:textId="2C5FA8F0" w:rsidR="00E772CB" w:rsidRPr="00E772CB" w:rsidRDefault="00172F39" w:rsidP="00E772C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Клочкова П.Ю.</w:t>
      </w:r>
    </w:p>
    <w:p w14:paraId="0533EF96" w14:textId="74A85385" w:rsidR="00E772CB" w:rsidRPr="00E772CB" w:rsidRDefault="00172F39" w:rsidP="00E772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72F3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Сравнительный анализ пересчета вверх методами эквивалентных источников</w:t>
      </w:r>
      <w:r w:rsidRPr="00172F3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  <w:t>и фильтрации на основе БПФ</w:t>
      </w:r>
    </w:p>
    <w:p w14:paraId="347B0145" w14:textId="77777777" w:rsidR="00E772CB" w:rsidRPr="00854E48" w:rsidRDefault="00E772CB" w:rsidP="00E772CB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54E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3 курс, кафедра геофизических методов исследования земной коры Геологического факультета МГУ имени М.В. Ломоносова</w:t>
      </w:r>
    </w:p>
    <w:p w14:paraId="6DEC7B3F" w14:textId="4CC10CA5" w:rsidR="00E772CB" w:rsidRPr="00854E48" w:rsidRDefault="00E772CB" w:rsidP="00E772CB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54E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Научны</w:t>
      </w:r>
      <w:r w:rsidR="00792D6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й</w:t>
      </w:r>
      <w:r w:rsidRPr="00854E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руководител</w:t>
      </w:r>
      <w:r w:rsidR="00792D6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ь</w:t>
      </w:r>
      <w:r w:rsidRPr="00854E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: </w:t>
      </w:r>
      <w:r w:rsidR="00172F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Паленов А.Ю.</w:t>
      </w:r>
    </w:p>
    <w:p w14:paraId="3DD3B120" w14:textId="77777777" w:rsidR="00172F39" w:rsidRPr="00172F39" w:rsidRDefault="00172F39" w:rsidP="00EB23AB">
      <w:pPr>
        <w:pStyle w:val="ad"/>
        <w:spacing w:before="0" w:beforeAutospacing="0" w:after="0" w:afterAutospacing="0"/>
        <w:ind w:firstLine="709"/>
        <w:jc w:val="both"/>
      </w:pPr>
      <w:r w:rsidRPr="00172F39">
        <w:t>В летний полевой сезон 2024 года на восточных отрогах Срединного Хребта (п-ов Камчатка) были проведены наземные магнитометрические исследования с использованием современного геофизического оборудования. Работы выполнялись в условиях сложного горного рельефа с перепадами высот от 590 до 1330 метров, что потребовало особого подхода к обработке и интерпретации данных. Исследуемый район характеризуется наличием сильномагнитных пород, что обусловило существенную амплитуду аномалий магнитного поля, достигающую  5000 </w:t>
      </w:r>
      <w:proofErr w:type="spellStart"/>
      <w:r w:rsidRPr="00172F39">
        <w:t>нТл</w:t>
      </w:r>
      <w:proofErr w:type="spellEnd"/>
      <w:r w:rsidRPr="00172F39">
        <w:t xml:space="preserve">. Источники этих аномалий (по данным полевых </w:t>
      </w:r>
      <w:proofErr w:type="spellStart"/>
      <w:r w:rsidRPr="00172F39">
        <w:t>каппаметрических</w:t>
      </w:r>
      <w:proofErr w:type="spellEnd"/>
      <w:r w:rsidRPr="00172F39">
        <w:t xml:space="preserve"> исследований) выходят на поверхность, зачастую составляя выраженные элементы рельефа. </w:t>
      </w:r>
    </w:p>
    <w:p w14:paraId="7D3EDE28" w14:textId="77777777" w:rsidR="00172F39" w:rsidRPr="00172F39" w:rsidRDefault="00172F39" w:rsidP="00EB23AB">
      <w:pPr>
        <w:pStyle w:val="ad"/>
        <w:spacing w:before="0" w:beforeAutospacing="0" w:after="0" w:afterAutospacing="0"/>
        <w:ind w:firstLine="709"/>
        <w:jc w:val="both"/>
      </w:pPr>
      <w:r w:rsidRPr="00172F39">
        <w:t>Основной целью исследования является сравнительное изучение эффективности двух принципиально различных подходов к пересчёту магнитных аномалий в верхнее полупространство с использованием современных методов трёхмерной  инверсии:</w:t>
      </w:r>
    </w:p>
    <w:p w14:paraId="6FDD93F2" w14:textId="11F3C62E" w:rsidR="00172F39" w:rsidRPr="00172F39" w:rsidRDefault="00172F39" w:rsidP="00EB23AB">
      <w:pPr>
        <w:pStyle w:val="ad"/>
        <w:numPr>
          <w:ilvl w:val="0"/>
          <w:numId w:val="6"/>
        </w:numPr>
        <w:spacing w:before="0" w:beforeAutospacing="0"/>
        <w:ind w:left="709"/>
        <w:jc w:val="both"/>
      </w:pPr>
      <w:r w:rsidRPr="00172F39">
        <w:t>Метод спектральной фильтрации на основе быстрого преобразования Фурье (БПФ)</w:t>
      </w:r>
      <w:r w:rsidR="00EB23AB">
        <w:t>;</w:t>
      </w:r>
    </w:p>
    <w:p w14:paraId="2281AF04" w14:textId="03A437F2" w:rsidR="00172F39" w:rsidRDefault="00172F39" w:rsidP="00EB23AB">
      <w:pPr>
        <w:pStyle w:val="ad"/>
        <w:numPr>
          <w:ilvl w:val="0"/>
          <w:numId w:val="6"/>
        </w:numPr>
        <w:spacing w:before="0" w:beforeAutospacing="0"/>
        <w:ind w:left="709"/>
        <w:jc w:val="both"/>
      </w:pPr>
      <w:r w:rsidRPr="00172F39">
        <w:t>Метод эквивалентных источников на основе р</w:t>
      </w:r>
      <w:r w:rsidR="00EB23AB">
        <w:t>ешения линейной обратной задачи.</w:t>
      </w:r>
    </w:p>
    <w:p w14:paraId="696B6E7A" w14:textId="10F921CD" w:rsidR="00172F39" w:rsidRPr="00172F39" w:rsidRDefault="00172F39" w:rsidP="00EB23AB">
      <w:pPr>
        <w:pStyle w:val="ad"/>
        <w:spacing w:before="0" w:beforeAutospacing="0" w:after="0" w:afterAutospacing="0"/>
        <w:ind w:firstLine="709"/>
        <w:jc w:val="both"/>
      </w:pPr>
      <w:r>
        <w:t xml:space="preserve">При расчете трехмерной модели инверсии было выполнено сравнение цифровых моделей рельефа </w:t>
      </w:r>
      <w:proofErr w:type="spellStart"/>
      <w:r>
        <w:rPr>
          <w:lang w:val="en-US"/>
        </w:rPr>
        <w:t>Alos</w:t>
      </w:r>
      <w:proofErr w:type="spellEnd"/>
      <w:r>
        <w:t xml:space="preserve"> и </w:t>
      </w:r>
      <w:r>
        <w:rPr>
          <w:lang w:val="en-US"/>
        </w:rPr>
        <w:t>Copernicus</w:t>
      </w:r>
      <w:r w:rsidRPr="00172F39">
        <w:t xml:space="preserve"> </w:t>
      </w:r>
      <w:r>
        <w:t xml:space="preserve">с реальными данными </w:t>
      </w:r>
      <w:r w:rsidRPr="00172F39">
        <w:t>(</w:t>
      </w:r>
      <w:r>
        <w:rPr>
          <w:lang w:val="en-US"/>
        </w:rPr>
        <w:t>GPS</w:t>
      </w:r>
      <w:r w:rsidRPr="00172F39">
        <w:t xml:space="preserve">). </w:t>
      </w:r>
      <w:r>
        <w:t xml:space="preserve">Было выявлено, что ЦМР имеет </w:t>
      </w:r>
      <w:r w:rsidR="004132D8" w:rsidRPr="003A0340">
        <w:t>постоянный сдвиг порядка 10 м от реальных данных (</w:t>
      </w:r>
      <w:r w:rsidR="004132D8" w:rsidRPr="003A0340">
        <w:rPr>
          <w:lang w:val="en-US"/>
        </w:rPr>
        <w:t>GPS</w:t>
      </w:r>
      <w:r w:rsidR="004132D8" w:rsidRPr="003A0340">
        <w:t>)</w:t>
      </w:r>
      <w:r w:rsidRPr="00172F39">
        <w:t>, при учете которого стандартное отклонение не превышает 3 м</w:t>
      </w:r>
      <w:r w:rsidR="005B5151">
        <w:t>.</w:t>
      </w:r>
    </w:p>
    <w:p w14:paraId="6423E8EB" w14:textId="7AE3E91C" w:rsidR="00172F39" w:rsidRPr="00172F39" w:rsidRDefault="00172F39" w:rsidP="00EB23AB">
      <w:pPr>
        <w:pStyle w:val="ad"/>
        <w:spacing w:before="0" w:beforeAutospacing="0" w:after="0" w:afterAutospacing="0"/>
        <w:ind w:firstLine="709"/>
        <w:jc w:val="both"/>
      </w:pPr>
      <w:r w:rsidRPr="00172F39">
        <w:t>Особое внимание в работе уделено анализу влияния выраженного горного рельефа на результаты пересчёта. Установлено, что спектральный подход, не учитывающий реальную топографию поверхности, приводит к существенным искажениям</w:t>
      </w:r>
      <w:r>
        <w:t xml:space="preserve"> </w:t>
      </w:r>
      <w:r w:rsidRPr="00172F39">
        <w:t>при интерпретации данных. В то же время метод эквивалентных источников, основанный на 3D инверсии с учётом рельефа и разновысотного положения реальных точек наблюдений предполагает более правильный расчет пространственного распределения аномальных магнитных полей в верхнем полупространстве.</w:t>
      </w:r>
    </w:p>
    <w:p w14:paraId="2E92C441" w14:textId="1EA89572" w:rsidR="005A3C53" w:rsidRPr="00172F39" w:rsidRDefault="00172F39" w:rsidP="00EB23AB">
      <w:pPr>
        <w:pStyle w:val="ad"/>
        <w:spacing w:before="0" w:beforeAutospacing="0" w:after="0" w:afterAutospacing="0"/>
        <w:ind w:firstLine="709"/>
        <w:jc w:val="both"/>
      </w:pPr>
      <w:r w:rsidRPr="00172F39">
        <w:t>Работа содержит детальный сравнительный анализ точности обоих методов, выполненный на основе полевых данных с применением современных алгоритмов трёхмерного моделирования. Полученные результаты демонстрируют</w:t>
      </w:r>
      <w:r>
        <w:t xml:space="preserve"> </w:t>
      </w:r>
      <w:r w:rsidRPr="00172F39">
        <w:t xml:space="preserve">основные ошибки, возникающие из-за </w:t>
      </w:r>
      <w:proofErr w:type="spellStart"/>
      <w:r w:rsidRPr="00172F39">
        <w:t>не</w:t>
      </w:r>
      <w:bookmarkStart w:id="0" w:name="_GoBack"/>
      <w:bookmarkEnd w:id="0"/>
      <w:r w:rsidRPr="00172F39">
        <w:t>учета</w:t>
      </w:r>
      <w:proofErr w:type="spellEnd"/>
      <w:r w:rsidRPr="00172F39">
        <w:t xml:space="preserve"> поверхности наблюдений магнитного поля при разделении поля на региональную и локальную составляющие стандартными методами</w:t>
      </w:r>
      <w:r>
        <w:t xml:space="preserve">. </w:t>
      </w:r>
      <w:r w:rsidRPr="00172F39">
        <w:t xml:space="preserve">Разница пересчета вверх в </w:t>
      </w:r>
      <w:proofErr w:type="spellStart"/>
      <w:r w:rsidRPr="00172F39">
        <w:rPr>
          <w:lang w:val="en-US"/>
        </w:rPr>
        <w:t>ZondGM</w:t>
      </w:r>
      <w:proofErr w:type="spellEnd"/>
      <w:r w:rsidRPr="00172F39">
        <w:t>3</w:t>
      </w:r>
      <w:r w:rsidRPr="00172F39">
        <w:rPr>
          <w:lang w:val="en-US"/>
        </w:rPr>
        <w:t>D</w:t>
      </w:r>
      <w:r w:rsidRPr="00172F39">
        <w:t xml:space="preserve"> и </w:t>
      </w:r>
      <w:proofErr w:type="spellStart"/>
      <w:r w:rsidRPr="00172F39">
        <w:rPr>
          <w:lang w:val="en-US"/>
        </w:rPr>
        <w:t>GeosoftOasis</w:t>
      </w:r>
      <w:proofErr w:type="spellEnd"/>
      <w:r w:rsidRPr="00172F39">
        <w:t xml:space="preserve"> </w:t>
      </w:r>
      <w:proofErr w:type="spellStart"/>
      <w:r w:rsidRPr="00172F39">
        <w:rPr>
          <w:lang w:val="en-US"/>
        </w:rPr>
        <w:t>Montaj</w:t>
      </w:r>
      <w:proofErr w:type="spellEnd"/>
      <w:r w:rsidRPr="00172F39">
        <w:t xml:space="preserve"> показывает, что её увеличение преимущественно приурочено к положительным формам рельефа и уменьшения на склоновых формах рельефа.</w:t>
      </w:r>
      <w:r>
        <w:t xml:space="preserve"> Результат имеет </w:t>
      </w:r>
      <w:r w:rsidRPr="00172F39">
        <w:t>важное практическое значение для повышения достоверности интерпретации геолого-геофизических данных при поисках месторождений в сложных топографических условиях.</w:t>
      </w:r>
    </w:p>
    <w:sectPr w:rsidR="005A3C53" w:rsidRPr="00172F39" w:rsidSect="00470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C63B1"/>
    <w:multiLevelType w:val="hybridMultilevel"/>
    <w:tmpl w:val="215A02DE"/>
    <w:lvl w:ilvl="0" w:tplc="35A09E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E19262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20EE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8AC7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4A68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A464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D4E0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D8B7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76CE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F39F4"/>
    <w:multiLevelType w:val="hybridMultilevel"/>
    <w:tmpl w:val="5E6832A0"/>
    <w:lvl w:ilvl="0" w:tplc="8B547A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8E30C6"/>
    <w:multiLevelType w:val="hybridMultilevel"/>
    <w:tmpl w:val="C96A9C0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53CE3F72"/>
    <w:multiLevelType w:val="multilevel"/>
    <w:tmpl w:val="4D5AD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454ED"/>
    <w:multiLevelType w:val="hybridMultilevel"/>
    <w:tmpl w:val="8F843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16BE4"/>
    <w:multiLevelType w:val="hybridMultilevel"/>
    <w:tmpl w:val="C344A972"/>
    <w:lvl w:ilvl="0" w:tplc="ECDAE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7448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DC87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AAD8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18E3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1095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4668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744A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2008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37"/>
    <w:rsid w:val="000E5B79"/>
    <w:rsid w:val="00172F39"/>
    <w:rsid w:val="00292EB7"/>
    <w:rsid w:val="00395837"/>
    <w:rsid w:val="004132D8"/>
    <w:rsid w:val="00470400"/>
    <w:rsid w:val="004D5D18"/>
    <w:rsid w:val="00566E01"/>
    <w:rsid w:val="005847D7"/>
    <w:rsid w:val="005A3C53"/>
    <w:rsid w:val="005B5151"/>
    <w:rsid w:val="005C41F2"/>
    <w:rsid w:val="00792D60"/>
    <w:rsid w:val="00854E48"/>
    <w:rsid w:val="009351DE"/>
    <w:rsid w:val="00985098"/>
    <w:rsid w:val="009A22B7"/>
    <w:rsid w:val="009C6A32"/>
    <w:rsid w:val="00A230A2"/>
    <w:rsid w:val="00A33719"/>
    <w:rsid w:val="00A93CAF"/>
    <w:rsid w:val="00B13F5C"/>
    <w:rsid w:val="00B522F8"/>
    <w:rsid w:val="00BC1FD4"/>
    <w:rsid w:val="00C12E48"/>
    <w:rsid w:val="00C72EA3"/>
    <w:rsid w:val="00CA7060"/>
    <w:rsid w:val="00CF1583"/>
    <w:rsid w:val="00D7691D"/>
    <w:rsid w:val="00DB7123"/>
    <w:rsid w:val="00E772CB"/>
    <w:rsid w:val="00EB23AB"/>
    <w:rsid w:val="00FF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636089"/>
  <w15:docId w15:val="{1E751AD5-CCF9-4E1C-B503-393D21E0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47D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84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7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69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A3C53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854E4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54E4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54E4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54E4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54E48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172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72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95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609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Белялова</dc:creator>
  <cp:lastModifiedBy>Учетная запись Майкрософт</cp:lastModifiedBy>
  <cp:revision>7</cp:revision>
  <cp:lastPrinted>2023-04-07T14:33:00Z</cp:lastPrinted>
  <dcterms:created xsi:type="dcterms:W3CDTF">2025-04-15T13:34:00Z</dcterms:created>
  <dcterms:modified xsi:type="dcterms:W3CDTF">2025-04-19T08:34:00Z</dcterms:modified>
</cp:coreProperties>
</file>