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84C" w:rsidRDefault="00435ECC" w:rsidP="008815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ECC">
        <w:rPr>
          <w:rFonts w:ascii="Times New Roman" w:hAnsi="Times New Roman" w:cs="Times New Roman"/>
          <w:b/>
          <w:sz w:val="24"/>
          <w:szCs w:val="24"/>
        </w:rPr>
        <w:t>«Катионный хаос – ключ управления физическими свойствами кристалла»</w:t>
      </w:r>
    </w:p>
    <w:p w:rsidR="00435ECC" w:rsidRDefault="00435ECC" w:rsidP="008815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ECC">
        <w:rPr>
          <w:rFonts w:ascii="Times New Roman" w:hAnsi="Times New Roman" w:cs="Times New Roman"/>
          <w:sz w:val="24"/>
          <w:szCs w:val="24"/>
        </w:rPr>
        <w:t>Самарина Елизавета Евгеньевна</w:t>
      </w:r>
      <w:r>
        <w:rPr>
          <w:rFonts w:ascii="Times New Roman" w:hAnsi="Times New Roman" w:cs="Times New Roman"/>
          <w:sz w:val="24"/>
          <w:szCs w:val="24"/>
        </w:rPr>
        <w:t xml:space="preserve">, 1 курс, кафедра кристаллографии и кристаллохимии </w:t>
      </w:r>
    </w:p>
    <w:p w:rsidR="00435ECC" w:rsidRDefault="00435ECC" w:rsidP="008815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gramStart"/>
      <w:r>
        <w:rPr>
          <w:rFonts w:ascii="Times New Roman" w:hAnsi="Times New Roman" w:cs="Times New Roman"/>
          <w:sz w:val="24"/>
          <w:szCs w:val="24"/>
        </w:rPr>
        <w:t>член.-</w:t>
      </w:r>
      <w:proofErr w:type="gramEnd"/>
      <w:r>
        <w:rPr>
          <w:rFonts w:ascii="Times New Roman" w:hAnsi="Times New Roman" w:cs="Times New Roman"/>
          <w:sz w:val="24"/>
          <w:szCs w:val="24"/>
        </w:rPr>
        <w:t>корр. РАН, д.х.н. Еремин Николай Николаевич</w:t>
      </w:r>
    </w:p>
    <w:p w:rsidR="008D0FF5" w:rsidRDefault="004434E3" w:rsidP="008815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134">
        <w:rPr>
          <w:rFonts w:ascii="Times New Roman" w:hAnsi="Times New Roman" w:cs="Times New Roman"/>
          <w:sz w:val="24"/>
          <w:szCs w:val="24"/>
        </w:rPr>
        <w:t xml:space="preserve">Оливин является главным </w:t>
      </w:r>
      <w:r w:rsidR="00881513" w:rsidRPr="00435ECC">
        <w:rPr>
          <w:rFonts w:ascii="Times New Roman" w:hAnsi="Times New Roman" w:cs="Times New Roman"/>
          <w:sz w:val="24"/>
          <w:szCs w:val="24"/>
        </w:rPr>
        <w:t>минерал</w:t>
      </w:r>
      <w:r w:rsidR="004C4134">
        <w:rPr>
          <w:rFonts w:ascii="Times New Roman" w:hAnsi="Times New Roman" w:cs="Times New Roman"/>
          <w:sz w:val="24"/>
          <w:szCs w:val="24"/>
        </w:rPr>
        <w:t>ом</w:t>
      </w:r>
      <w:r w:rsidR="00881513" w:rsidRPr="00435ECC">
        <w:rPr>
          <w:rFonts w:ascii="Times New Roman" w:hAnsi="Times New Roman" w:cs="Times New Roman"/>
          <w:sz w:val="24"/>
          <w:szCs w:val="24"/>
        </w:rPr>
        <w:t xml:space="preserve"> </w:t>
      </w:r>
      <w:r w:rsidR="004C4134">
        <w:rPr>
          <w:rFonts w:ascii="Times New Roman" w:hAnsi="Times New Roman" w:cs="Times New Roman"/>
          <w:sz w:val="24"/>
          <w:szCs w:val="24"/>
        </w:rPr>
        <w:t>верхней мантии, породообразующим</w:t>
      </w:r>
      <w:r w:rsidR="00881513" w:rsidRPr="00435ECC">
        <w:rPr>
          <w:rFonts w:ascii="Times New Roman" w:hAnsi="Times New Roman" w:cs="Times New Roman"/>
          <w:sz w:val="24"/>
          <w:szCs w:val="24"/>
        </w:rPr>
        <w:t xml:space="preserve"> минерал</w:t>
      </w:r>
      <w:r w:rsidR="004C4134">
        <w:rPr>
          <w:rFonts w:ascii="Times New Roman" w:hAnsi="Times New Roman" w:cs="Times New Roman"/>
          <w:sz w:val="24"/>
          <w:szCs w:val="24"/>
        </w:rPr>
        <w:t>ом</w:t>
      </w:r>
      <w:r w:rsidR="00881513" w:rsidRPr="00435ECC">
        <w:rPr>
          <w:rFonts w:ascii="Times New Roman" w:hAnsi="Times New Roman" w:cs="Times New Roman"/>
          <w:sz w:val="24"/>
          <w:szCs w:val="24"/>
        </w:rPr>
        <w:t xml:space="preserve"> основных и ультраосновных магматических пород</w:t>
      </w:r>
      <w:r w:rsidR="004C4134">
        <w:rPr>
          <w:rFonts w:ascii="Times New Roman" w:hAnsi="Times New Roman" w:cs="Times New Roman"/>
          <w:sz w:val="24"/>
          <w:szCs w:val="24"/>
        </w:rPr>
        <w:t xml:space="preserve">. </w:t>
      </w:r>
      <w:r w:rsidR="00881513" w:rsidRPr="00435ECC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4C4134">
        <w:rPr>
          <w:rFonts w:ascii="Times New Roman" w:hAnsi="Times New Roman" w:cs="Times New Roman"/>
          <w:sz w:val="24"/>
          <w:szCs w:val="24"/>
        </w:rPr>
        <w:t xml:space="preserve">его </w:t>
      </w:r>
      <w:r w:rsidR="00D83BDA">
        <w:rPr>
          <w:rFonts w:ascii="Times New Roman" w:hAnsi="Times New Roman" w:cs="Times New Roman"/>
          <w:sz w:val="24"/>
          <w:szCs w:val="24"/>
        </w:rPr>
        <w:t>физических</w:t>
      </w:r>
      <w:r w:rsidR="00552302">
        <w:rPr>
          <w:rFonts w:ascii="Times New Roman" w:hAnsi="Times New Roman" w:cs="Times New Roman"/>
          <w:sz w:val="24"/>
          <w:szCs w:val="24"/>
        </w:rPr>
        <w:t xml:space="preserve"> </w:t>
      </w:r>
      <w:r w:rsidR="004C4134">
        <w:rPr>
          <w:rFonts w:ascii="Times New Roman" w:hAnsi="Times New Roman" w:cs="Times New Roman"/>
          <w:sz w:val="24"/>
          <w:szCs w:val="24"/>
        </w:rPr>
        <w:t xml:space="preserve">свойств в </w:t>
      </w:r>
      <w:r w:rsidR="00881513" w:rsidRPr="00435ECC">
        <w:rPr>
          <w:rFonts w:ascii="Times New Roman" w:hAnsi="Times New Roman" w:cs="Times New Roman"/>
          <w:sz w:val="24"/>
          <w:szCs w:val="24"/>
        </w:rPr>
        <w:t xml:space="preserve">условиях высоких </w:t>
      </w:r>
      <w:r w:rsidR="00881513" w:rsidRPr="00435EC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81513" w:rsidRPr="00435ECC">
        <w:rPr>
          <w:rFonts w:ascii="Times New Roman" w:hAnsi="Times New Roman" w:cs="Times New Roman"/>
          <w:sz w:val="24"/>
          <w:szCs w:val="24"/>
        </w:rPr>
        <w:t xml:space="preserve"> и </w:t>
      </w:r>
      <w:r w:rsidR="00881513" w:rsidRPr="00435EC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81513" w:rsidRPr="00435ECC">
        <w:rPr>
          <w:rFonts w:ascii="Times New Roman" w:hAnsi="Times New Roman" w:cs="Times New Roman"/>
          <w:sz w:val="24"/>
          <w:szCs w:val="24"/>
        </w:rPr>
        <w:t xml:space="preserve"> может дать представление о </w:t>
      </w:r>
      <w:r w:rsidR="004C4134">
        <w:rPr>
          <w:rFonts w:ascii="Times New Roman" w:hAnsi="Times New Roman" w:cs="Times New Roman"/>
          <w:sz w:val="24"/>
          <w:szCs w:val="24"/>
        </w:rPr>
        <w:t xml:space="preserve">механических </w:t>
      </w:r>
      <w:r w:rsidR="00881513" w:rsidRPr="00435ECC">
        <w:rPr>
          <w:rFonts w:ascii="Times New Roman" w:hAnsi="Times New Roman" w:cs="Times New Roman"/>
          <w:sz w:val="24"/>
          <w:szCs w:val="24"/>
        </w:rPr>
        <w:t>свойствах, в том числе упругих свойствах</w:t>
      </w:r>
      <w:r w:rsidR="004C4134">
        <w:rPr>
          <w:rFonts w:ascii="Times New Roman" w:hAnsi="Times New Roman" w:cs="Times New Roman"/>
          <w:sz w:val="24"/>
          <w:szCs w:val="24"/>
        </w:rPr>
        <w:t>,</w:t>
      </w:r>
      <w:r w:rsidR="00881513" w:rsidRPr="00435ECC">
        <w:rPr>
          <w:rFonts w:ascii="Times New Roman" w:hAnsi="Times New Roman" w:cs="Times New Roman"/>
          <w:sz w:val="24"/>
          <w:szCs w:val="24"/>
        </w:rPr>
        <w:t xml:space="preserve"> верхней мантии и ее реологии</w:t>
      </w:r>
      <w:r w:rsidR="004C4134">
        <w:rPr>
          <w:rFonts w:ascii="Times New Roman" w:hAnsi="Times New Roman" w:cs="Times New Roman"/>
          <w:sz w:val="24"/>
          <w:szCs w:val="24"/>
        </w:rPr>
        <w:t xml:space="preserve">, а также помочь в </w:t>
      </w:r>
      <w:r w:rsidR="00881513" w:rsidRPr="00435ECC">
        <w:rPr>
          <w:rFonts w:ascii="Times New Roman" w:hAnsi="Times New Roman" w:cs="Times New Roman"/>
          <w:sz w:val="24"/>
          <w:szCs w:val="24"/>
        </w:rPr>
        <w:t>интерпретации с</w:t>
      </w:r>
      <w:r w:rsidR="004C4134">
        <w:rPr>
          <w:rFonts w:ascii="Times New Roman" w:hAnsi="Times New Roman" w:cs="Times New Roman"/>
          <w:sz w:val="24"/>
          <w:szCs w:val="24"/>
        </w:rPr>
        <w:t>ейсмических данных и определении</w:t>
      </w:r>
      <w:r w:rsidR="00881513" w:rsidRPr="00435ECC">
        <w:rPr>
          <w:rFonts w:ascii="Times New Roman" w:hAnsi="Times New Roman" w:cs="Times New Roman"/>
          <w:sz w:val="24"/>
          <w:szCs w:val="24"/>
        </w:rPr>
        <w:t xml:space="preserve"> строения изучаемой области</w:t>
      </w:r>
      <w:r w:rsidR="004C41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4E3" w:rsidRDefault="004434E3" w:rsidP="008815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Целью настоящей работы является исследование зависимости упругих свойств и параметров кристаллохимической ячейки оливина от катионного состава.</w:t>
      </w:r>
      <w:r w:rsidRPr="004434E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качестве объекта исследования выступал изоморфный ряд фаялит-форстерит. </w:t>
      </w:r>
      <w:r w:rsidRPr="004434E3">
        <w:rPr>
          <w:rFonts w:ascii="Times New Roman" w:hAnsi="Times New Roman" w:cs="Times New Roman"/>
          <w:sz w:val="24"/>
          <w:szCs w:val="24"/>
        </w:rPr>
        <w:t>В пр</w:t>
      </w:r>
      <w:r>
        <w:rPr>
          <w:rFonts w:ascii="Times New Roman" w:hAnsi="Times New Roman" w:cs="Times New Roman"/>
          <w:sz w:val="24"/>
          <w:szCs w:val="24"/>
        </w:rPr>
        <w:t xml:space="preserve">ограмме GULP на базе </w:t>
      </w:r>
      <w:r w:rsidRPr="004434E3">
        <w:rPr>
          <w:rFonts w:ascii="Times New Roman" w:hAnsi="Times New Roman" w:cs="Times New Roman"/>
          <w:sz w:val="24"/>
          <w:szCs w:val="24"/>
        </w:rPr>
        <w:t>ячейки форстерита были смоделированы г</w:t>
      </w:r>
      <w:r>
        <w:rPr>
          <w:rFonts w:ascii="Times New Roman" w:hAnsi="Times New Roman" w:cs="Times New Roman"/>
          <w:sz w:val="24"/>
          <w:szCs w:val="24"/>
        </w:rPr>
        <w:t xml:space="preserve">ипотетические ячейки с различным содержанием </w:t>
      </w:r>
      <w:r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443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43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>
        <w:rPr>
          <w:rFonts w:ascii="Times New Roman" w:hAnsi="Times New Roman" w:cs="Times New Roman"/>
          <w:sz w:val="24"/>
          <w:szCs w:val="24"/>
        </w:rPr>
        <w:t xml:space="preserve"> и различным катионным упорядочением. </w:t>
      </w:r>
    </w:p>
    <w:p w:rsidR="004434E3" w:rsidRPr="00881513" w:rsidRDefault="007E2D95" w:rsidP="008815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302">
        <w:rPr>
          <w:rFonts w:ascii="Times New Roman" w:hAnsi="Times New Roman" w:cs="Times New Roman"/>
          <w:sz w:val="24"/>
          <w:szCs w:val="24"/>
        </w:rPr>
        <w:t>С увеличением содержания крупного катиона в структуре линейно уменьшается модуль всестороннего сжатия, что свидетель</w:t>
      </w:r>
      <w:r w:rsidR="00226EF3">
        <w:rPr>
          <w:rFonts w:ascii="Times New Roman" w:hAnsi="Times New Roman" w:cs="Times New Roman"/>
          <w:sz w:val="24"/>
          <w:szCs w:val="24"/>
        </w:rPr>
        <w:t xml:space="preserve">ствует о меньшей устойчивости </w:t>
      </w:r>
      <w:r w:rsidR="00B0445A">
        <w:rPr>
          <w:rFonts w:ascii="Times New Roman" w:hAnsi="Times New Roman" w:cs="Times New Roman"/>
          <w:sz w:val="24"/>
          <w:szCs w:val="24"/>
        </w:rPr>
        <w:t xml:space="preserve">ее </w:t>
      </w:r>
      <w:r w:rsidR="00226EF3">
        <w:rPr>
          <w:rFonts w:ascii="Times New Roman" w:hAnsi="Times New Roman" w:cs="Times New Roman"/>
          <w:sz w:val="24"/>
          <w:szCs w:val="24"/>
        </w:rPr>
        <w:t>к упругим деформациям,</w:t>
      </w:r>
      <w:r w:rsidR="00552302">
        <w:rPr>
          <w:rFonts w:ascii="Times New Roman" w:hAnsi="Times New Roman" w:cs="Times New Roman"/>
          <w:sz w:val="24"/>
          <w:szCs w:val="24"/>
        </w:rPr>
        <w:t xml:space="preserve"> и</w:t>
      </w:r>
      <w:r w:rsidR="00226EF3">
        <w:rPr>
          <w:rFonts w:ascii="Times New Roman" w:hAnsi="Times New Roman" w:cs="Times New Roman"/>
          <w:sz w:val="24"/>
          <w:szCs w:val="24"/>
        </w:rPr>
        <w:t xml:space="preserve"> линейно </w:t>
      </w:r>
      <w:r w:rsidR="00552302">
        <w:rPr>
          <w:rFonts w:ascii="Times New Roman" w:hAnsi="Times New Roman" w:cs="Times New Roman"/>
          <w:sz w:val="24"/>
          <w:szCs w:val="24"/>
        </w:rPr>
        <w:t>увеличива</w:t>
      </w:r>
      <w:r w:rsidR="00545C24">
        <w:rPr>
          <w:rFonts w:ascii="Times New Roman" w:hAnsi="Times New Roman" w:cs="Times New Roman"/>
          <w:sz w:val="24"/>
          <w:szCs w:val="24"/>
        </w:rPr>
        <w:t>е</w:t>
      </w:r>
      <w:r w:rsidR="00552302">
        <w:rPr>
          <w:rFonts w:ascii="Times New Roman" w:hAnsi="Times New Roman" w:cs="Times New Roman"/>
          <w:sz w:val="24"/>
          <w:szCs w:val="24"/>
        </w:rPr>
        <w:t xml:space="preserve">тся </w:t>
      </w:r>
      <w:r w:rsidR="00545C24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552302">
        <w:rPr>
          <w:rFonts w:ascii="Times New Roman" w:hAnsi="Times New Roman" w:cs="Times New Roman"/>
          <w:sz w:val="24"/>
          <w:szCs w:val="24"/>
        </w:rPr>
        <w:t>ячейки.</w:t>
      </w:r>
      <w:r>
        <w:rPr>
          <w:rFonts w:ascii="Times New Roman" w:hAnsi="Times New Roman" w:cs="Times New Roman"/>
          <w:sz w:val="24"/>
          <w:szCs w:val="24"/>
        </w:rPr>
        <w:t xml:space="preserve"> Полученные данные свидетельствуют о линейной зависимости изучаемых параметров от количественной характеристики катионного распределения. </w:t>
      </w:r>
      <w:r w:rsidR="00881513">
        <w:rPr>
          <w:rFonts w:ascii="Times New Roman" w:hAnsi="Times New Roman" w:cs="Times New Roman"/>
          <w:sz w:val="24"/>
          <w:szCs w:val="24"/>
        </w:rPr>
        <w:t xml:space="preserve">Твердые растворы с различным катионным упорядочением, но одинаковым содержанием </w:t>
      </w:r>
      <w:r w:rsidR="00881513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881513" w:rsidRPr="00881513">
        <w:rPr>
          <w:rFonts w:ascii="Times New Roman" w:hAnsi="Times New Roman" w:cs="Times New Roman"/>
          <w:sz w:val="24"/>
          <w:szCs w:val="24"/>
        </w:rPr>
        <w:t>-</w:t>
      </w:r>
      <w:r w:rsidR="0088151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881513">
        <w:rPr>
          <w:rFonts w:ascii="Times New Roman" w:hAnsi="Times New Roman" w:cs="Times New Roman"/>
          <w:sz w:val="24"/>
          <w:szCs w:val="24"/>
        </w:rPr>
        <w:t>, подтверждают выполнение пр</w:t>
      </w:r>
      <w:r w:rsidR="008A4293">
        <w:rPr>
          <w:rFonts w:ascii="Times New Roman" w:hAnsi="Times New Roman" w:cs="Times New Roman"/>
          <w:sz w:val="24"/>
          <w:szCs w:val="24"/>
        </w:rPr>
        <w:t xml:space="preserve">авила отрицательного отклонения </w:t>
      </w:r>
      <w:r w:rsidR="00881513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881513">
        <w:rPr>
          <w:rFonts w:ascii="Times New Roman" w:hAnsi="Times New Roman" w:cs="Times New Roman"/>
          <w:sz w:val="24"/>
          <w:szCs w:val="24"/>
        </w:rPr>
        <w:t>аддитивности</w:t>
      </w:r>
      <w:proofErr w:type="spellEnd"/>
      <w:r w:rsidR="008A4293">
        <w:rPr>
          <w:rFonts w:ascii="Times New Roman" w:hAnsi="Times New Roman" w:cs="Times New Roman"/>
          <w:sz w:val="24"/>
          <w:szCs w:val="24"/>
        </w:rPr>
        <w:t xml:space="preserve"> </w:t>
      </w:r>
      <w:r w:rsidR="002C31EB">
        <w:rPr>
          <w:rFonts w:ascii="Times New Roman" w:hAnsi="Times New Roman" w:cs="Times New Roman"/>
          <w:sz w:val="24"/>
          <w:szCs w:val="24"/>
        </w:rPr>
        <w:t xml:space="preserve">объема и модуля сжатия </w:t>
      </w:r>
      <w:bookmarkStart w:id="0" w:name="_GoBack"/>
      <w:bookmarkEnd w:id="0"/>
      <w:r w:rsidR="00881513">
        <w:rPr>
          <w:rFonts w:ascii="Times New Roman" w:hAnsi="Times New Roman" w:cs="Times New Roman"/>
          <w:sz w:val="24"/>
          <w:szCs w:val="24"/>
        </w:rPr>
        <w:t>твердых растворов, сформулированного Урусовым В.С. и Ереминым Н.Н. в 2013 году.</w:t>
      </w:r>
    </w:p>
    <w:p w:rsidR="00435ECC" w:rsidRPr="00435ECC" w:rsidRDefault="00435ECC" w:rsidP="008815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5ECC" w:rsidRPr="00435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A1D3E"/>
    <w:multiLevelType w:val="hybridMultilevel"/>
    <w:tmpl w:val="F6F6BBA4"/>
    <w:lvl w:ilvl="0" w:tplc="F2A68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E5684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69C4E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78E20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35623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D556D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57C8F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ED649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0D2EE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53"/>
    <w:rsid w:val="000C4FFB"/>
    <w:rsid w:val="001D0C62"/>
    <w:rsid w:val="00226EF3"/>
    <w:rsid w:val="00283ED6"/>
    <w:rsid w:val="002C31EB"/>
    <w:rsid w:val="003C06E5"/>
    <w:rsid w:val="003C7953"/>
    <w:rsid w:val="00435ECC"/>
    <w:rsid w:val="004434E3"/>
    <w:rsid w:val="004C4134"/>
    <w:rsid w:val="00545C24"/>
    <w:rsid w:val="00552302"/>
    <w:rsid w:val="00627E3D"/>
    <w:rsid w:val="007379FF"/>
    <w:rsid w:val="007E2D95"/>
    <w:rsid w:val="008428ED"/>
    <w:rsid w:val="00881513"/>
    <w:rsid w:val="008A4293"/>
    <w:rsid w:val="008D0FF5"/>
    <w:rsid w:val="00B0445A"/>
    <w:rsid w:val="00D01047"/>
    <w:rsid w:val="00D83BDA"/>
    <w:rsid w:val="00EF5797"/>
    <w:rsid w:val="00F8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5BAC7-146C-49A3-A957-DC234155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E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415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88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05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</cp:revision>
  <dcterms:created xsi:type="dcterms:W3CDTF">2025-04-19T16:14:00Z</dcterms:created>
  <dcterms:modified xsi:type="dcterms:W3CDTF">2025-04-19T17:43:00Z</dcterms:modified>
</cp:coreProperties>
</file>