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37" w:rsidRPr="009A4AE9" w:rsidRDefault="00A73537" w:rsidP="00A73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A73537" w:rsidRPr="009A4AE9" w:rsidRDefault="00A73537" w:rsidP="00A73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Pr="00487DAF">
        <w:rPr>
          <w:rFonts w:ascii="Times New Roman" w:hAnsi="Times New Roman" w:cs="Times New Roman"/>
          <w:b/>
          <w:sz w:val="28"/>
          <w:szCs w:val="28"/>
        </w:rPr>
        <w:t>Правовое регулирование несостоятельности (банкротств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87DAF">
        <w:rPr>
          <w:rFonts w:ascii="Times New Roman" w:hAnsi="Times New Roman" w:cs="Times New Roman"/>
          <w:b/>
          <w:sz w:val="28"/>
          <w:szCs w:val="28"/>
        </w:rPr>
        <w:t>)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:rsidR="00A73537" w:rsidRDefault="00A73537" w:rsidP="00A73537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A5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предложенных </w:t>
      </w:r>
      <w:r w:rsidRPr="00A517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тем:</w:t>
      </w:r>
    </w:p>
    <w:p w:rsidR="00A73537" w:rsidRPr="00A73537" w:rsidRDefault="00A73537" w:rsidP="00A73537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73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Арбитражное управление и иные модели управления  должником и его имуществом </w:t>
      </w:r>
      <w:r w:rsidRPr="00A73537">
        <w:rPr>
          <w:rFonts w:ascii="Times New Roman" w:eastAsia="Times New Roman" w:hAnsi="Times New Roman" w:cs="Times New Roman"/>
          <w:color w:val="ED5C57"/>
          <w:sz w:val="28"/>
          <w:szCs w:val="28"/>
          <w:lang w:eastAsia="ru-RU"/>
        </w:rPr>
        <w:t>  </w:t>
      </w:r>
      <w:r w:rsidRPr="00A735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законодательству России и зарубежных стран: сравнительно-правовой анализ.</w:t>
      </w:r>
    </w:p>
    <w:p w:rsidR="00A73537" w:rsidRPr="00A73537" w:rsidRDefault="00A73537" w:rsidP="00A73537">
      <w:pPr>
        <w:pStyle w:val="a3"/>
        <w:shd w:val="clear" w:color="auto" w:fill="FFFFFF"/>
        <w:spacing w:line="240" w:lineRule="auto"/>
        <w:ind w:left="142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73537" w:rsidRDefault="00A73537" w:rsidP="00A73537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73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Юридическая ответственность и особенности ее применения в сфере несостоятельности. </w:t>
      </w:r>
    </w:p>
    <w:p w:rsidR="00A73537" w:rsidRPr="00A73537" w:rsidRDefault="00A73537" w:rsidP="00A73537">
      <w:pPr>
        <w:pStyle w:val="a3"/>
        <w:shd w:val="clear" w:color="auto" w:fill="FFFFFF"/>
        <w:spacing w:line="240" w:lineRule="auto"/>
        <w:ind w:left="142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73537" w:rsidRDefault="00A73537" w:rsidP="00A7353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73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Правовые модели предупреждения </w:t>
      </w:r>
      <w:proofErr w:type="gramStart"/>
      <w:r w:rsidRPr="00A73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банкротства</w:t>
      </w:r>
      <w:proofErr w:type="gramEnd"/>
      <w:r w:rsidRPr="00A735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каковы критерии и пределы применимости?</w:t>
      </w:r>
      <w:bookmarkStart w:id="0" w:name="_GoBack"/>
      <w:bookmarkEnd w:id="0"/>
    </w:p>
    <w:p w:rsidR="00A73537" w:rsidRPr="00A73537" w:rsidRDefault="00A73537" w:rsidP="00A73537">
      <w:pPr>
        <w:pStyle w:val="a3"/>
        <w:shd w:val="clear" w:color="auto" w:fill="FFFFFF"/>
        <w:spacing w:after="0" w:line="276" w:lineRule="auto"/>
        <w:ind w:left="142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73537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:rsidR="00A73537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3537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A73537" w:rsidRPr="00E739C1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3537" w:rsidRPr="00E739C1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:rsidR="00A73537" w:rsidRPr="00E739C1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:rsidR="00A73537" w:rsidRPr="00E739C1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:rsidR="00A73537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73537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73537" w:rsidRPr="00E739C1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73537" w:rsidRPr="00E739C1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:rsidR="00A73537" w:rsidRPr="00E739C1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:rsidR="00A73537" w:rsidRPr="009120C0" w:rsidRDefault="00A73537" w:rsidP="00A735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:rsidR="00310170" w:rsidRDefault="00310170"/>
    <w:sectPr w:rsidR="00310170" w:rsidSect="0031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01EE2"/>
    <w:multiLevelType w:val="hybridMultilevel"/>
    <w:tmpl w:val="E876B7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32237C6"/>
    <w:multiLevelType w:val="hybridMultilevel"/>
    <w:tmpl w:val="E67CB8F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537"/>
    <w:rsid w:val="00310170"/>
    <w:rsid w:val="009A651A"/>
    <w:rsid w:val="00A7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3537"/>
  </w:style>
  <w:style w:type="paragraph" w:styleId="a3">
    <w:name w:val="List Paragraph"/>
    <w:basedOn w:val="a"/>
    <w:uiPriority w:val="34"/>
    <w:qFormat/>
    <w:rsid w:val="00A73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2021-11-19T05:21:00Z</dcterms:created>
  <dcterms:modified xsi:type="dcterms:W3CDTF">2021-11-19T05:25:00Z</dcterms:modified>
</cp:coreProperties>
</file>