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D4D" w:rsidRPr="0050704C" w:rsidRDefault="00DF3297" w:rsidP="00D60BD8">
      <w:pPr>
        <w:jc w:val="center"/>
        <w:rPr>
          <w:rFonts w:ascii="Times New Roman" w:hAnsi="Times New Roman" w:cs="Times New Roman"/>
          <w:b/>
          <w:sz w:val="24"/>
          <w:szCs w:val="24"/>
        </w:rPr>
      </w:pPr>
      <w:bookmarkStart w:id="0" w:name="_GoBack"/>
      <w:bookmarkEnd w:id="0"/>
      <w:r w:rsidRPr="0050704C">
        <w:rPr>
          <w:rFonts w:ascii="Times New Roman" w:hAnsi="Times New Roman" w:cs="Times New Roman"/>
          <w:b/>
          <w:sz w:val="24"/>
          <w:szCs w:val="24"/>
        </w:rPr>
        <w:t>Задания для УНИВЕРСИАДЫ</w:t>
      </w:r>
    </w:p>
    <w:p w:rsidR="00F71D4D" w:rsidRPr="0050704C" w:rsidRDefault="00F71D4D" w:rsidP="00D60BD8">
      <w:pPr>
        <w:jc w:val="center"/>
        <w:rPr>
          <w:rFonts w:ascii="Times New Roman" w:hAnsi="Times New Roman" w:cs="Times New Roman"/>
          <w:b/>
          <w:sz w:val="24"/>
          <w:szCs w:val="24"/>
        </w:rPr>
      </w:pPr>
      <w:r w:rsidRPr="0050704C">
        <w:rPr>
          <w:rFonts w:ascii="Times New Roman" w:hAnsi="Times New Roman" w:cs="Times New Roman"/>
          <w:b/>
          <w:sz w:val="24"/>
          <w:szCs w:val="24"/>
        </w:rPr>
        <w:t>кафедра коммерческого права и основ правоведения</w:t>
      </w:r>
    </w:p>
    <w:p w:rsidR="00D17A24" w:rsidRPr="0050704C" w:rsidRDefault="00D17A24" w:rsidP="00D60BD8">
      <w:pPr>
        <w:jc w:val="center"/>
        <w:rPr>
          <w:rFonts w:ascii="Times New Roman" w:hAnsi="Times New Roman" w:cs="Times New Roman"/>
          <w:b/>
          <w:sz w:val="24"/>
          <w:szCs w:val="24"/>
        </w:rPr>
      </w:pPr>
      <w:r w:rsidRPr="0050704C">
        <w:rPr>
          <w:rFonts w:ascii="Times New Roman" w:hAnsi="Times New Roman" w:cs="Times New Roman"/>
          <w:b/>
          <w:sz w:val="24"/>
          <w:szCs w:val="24"/>
        </w:rPr>
        <w:t>Программа «Коммерческое и договорное право»</w:t>
      </w:r>
      <w:r w:rsidR="00D60BD8">
        <w:rPr>
          <w:rFonts w:ascii="Times New Roman" w:hAnsi="Times New Roman" w:cs="Times New Roman"/>
          <w:b/>
          <w:sz w:val="24"/>
          <w:szCs w:val="24"/>
        </w:rPr>
        <w:t xml:space="preserve"> (дневная)</w:t>
      </w:r>
    </w:p>
    <w:p w:rsidR="00D17A24" w:rsidRPr="0050704C" w:rsidRDefault="00D17A24" w:rsidP="00D60BD8">
      <w:pPr>
        <w:jc w:val="center"/>
        <w:rPr>
          <w:rFonts w:ascii="Times New Roman" w:hAnsi="Times New Roman" w:cs="Times New Roman"/>
          <w:b/>
          <w:sz w:val="24"/>
          <w:szCs w:val="24"/>
        </w:rPr>
      </w:pPr>
      <w:r w:rsidRPr="0050704C">
        <w:rPr>
          <w:rFonts w:ascii="Times New Roman" w:hAnsi="Times New Roman" w:cs="Times New Roman"/>
          <w:b/>
          <w:sz w:val="24"/>
          <w:szCs w:val="24"/>
        </w:rPr>
        <w:t xml:space="preserve">Программа </w:t>
      </w:r>
      <w:r w:rsidR="00D60BD8">
        <w:rPr>
          <w:rFonts w:ascii="Times New Roman" w:hAnsi="Times New Roman" w:cs="Times New Roman"/>
          <w:b/>
          <w:sz w:val="24"/>
          <w:szCs w:val="24"/>
        </w:rPr>
        <w:t>«</w:t>
      </w:r>
      <w:r w:rsidR="007E4976" w:rsidRPr="0050704C">
        <w:rPr>
          <w:rFonts w:ascii="Times New Roman" w:hAnsi="Times New Roman" w:cs="Times New Roman"/>
          <w:b/>
          <w:sz w:val="24"/>
          <w:szCs w:val="24"/>
        </w:rPr>
        <w:t>Договорное право и техника договорной работы»</w:t>
      </w:r>
      <w:r w:rsidR="00D60BD8">
        <w:rPr>
          <w:rFonts w:ascii="Times New Roman" w:hAnsi="Times New Roman" w:cs="Times New Roman"/>
          <w:b/>
          <w:sz w:val="24"/>
          <w:szCs w:val="24"/>
        </w:rPr>
        <w:t xml:space="preserve"> (вечерняя)</w:t>
      </w:r>
    </w:p>
    <w:p w:rsidR="00520539" w:rsidRPr="0050704C" w:rsidRDefault="00F71D4D" w:rsidP="00D60BD8">
      <w:pPr>
        <w:pStyle w:val="a3"/>
        <w:numPr>
          <w:ilvl w:val="1"/>
          <w:numId w:val="3"/>
        </w:numPr>
        <w:jc w:val="center"/>
        <w:rPr>
          <w:rFonts w:ascii="Times New Roman" w:hAnsi="Times New Roman" w:cs="Times New Roman"/>
          <w:sz w:val="24"/>
          <w:szCs w:val="24"/>
        </w:rPr>
      </w:pPr>
      <w:r w:rsidRPr="0050704C">
        <w:rPr>
          <w:rFonts w:ascii="Times New Roman" w:hAnsi="Times New Roman" w:cs="Times New Roman"/>
          <w:sz w:val="24"/>
          <w:szCs w:val="24"/>
        </w:rPr>
        <w:t>учебный год</w:t>
      </w:r>
    </w:p>
    <w:p w:rsidR="00ED78A9" w:rsidRPr="0050704C" w:rsidRDefault="00ED78A9" w:rsidP="00D60BD8">
      <w:pPr>
        <w:jc w:val="center"/>
        <w:rPr>
          <w:rFonts w:ascii="Times New Roman" w:hAnsi="Times New Roman" w:cs="Times New Roman"/>
          <w:sz w:val="24"/>
          <w:szCs w:val="24"/>
        </w:rPr>
      </w:pPr>
    </w:p>
    <w:p w:rsidR="00ED78A9" w:rsidRPr="0050704C" w:rsidRDefault="00D17A24" w:rsidP="0050704C">
      <w:pPr>
        <w:jc w:val="both"/>
        <w:rPr>
          <w:rFonts w:ascii="Times New Roman" w:hAnsi="Times New Roman" w:cs="Times New Roman"/>
          <w:b/>
          <w:i/>
          <w:sz w:val="24"/>
          <w:szCs w:val="24"/>
        </w:rPr>
      </w:pPr>
      <w:r w:rsidRPr="0050704C">
        <w:rPr>
          <w:rFonts w:ascii="Times New Roman" w:hAnsi="Times New Roman" w:cs="Times New Roman"/>
          <w:b/>
          <w:i/>
          <w:sz w:val="24"/>
          <w:szCs w:val="24"/>
        </w:rPr>
        <w:t>Участникам Универсиады</w:t>
      </w:r>
      <w:r w:rsidR="007E4976" w:rsidRPr="0050704C">
        <w:rPr>
          <w:rFonts w:ascii="Times New Roman" w:hAnsi="Times New Roman" w:cs="Times New Roman"/>
          <w:b/>
          <w:i/>
          <w:sz w:val="24"/>
          <w:szCs w:val="24"/>
        </w:rPr>
        <w:t xml:space="preserve"> предлагается выполнить одно из приведенных ниже </w:t>
      </w:r>
      <w:r w:rsidR="0050704C" w:rsidRPr="0050704C">
        <w:rPr>
          <w:rFonts w:ascii="Times New Roman" w:hAnsi="Times New Roman" w:cs="Times New Roman"/>
          <w:b/>
          <w:i/>
          <w:sz w:val="24"/>
          <w:szCs w:val="24"/>
        </w:rPr>
        <w:t>заданий (</w:t>
      </w:r>
      <w:r w:rsidR="006128FD" w:rsidRPr="0050704C">
        <w:rPr>
          <w:rFonts w:ascii="Times New Roman" w:hAnsi="Times New Roman" w:cs="Times New Roman"/>
          <w:b/>
          <w:i/>
          <w:sz w:val="24"/>
          <w:szCs w:val="24"/>
        </w:rPr>
        <w:t>на выбор – одно эссе, один кейс или один проект закона):</w:t>
      </w:r>
    </w:p>
    <w:p w:rsidR="00520539" w:rsidRPr="0050704C" w:rsidRDefault="00520539" w:rsidP="0050704C">
      <w:pPr>
        <w:pStyle w:val="a3"/>
        <w:numPr>
          <w:ilvl w:val="0"/>
          <w:numId w:val="4"/>
        </w:numPr>
        <w:ind w:left="720"/>
        <w:jc w:val="both"/>
        <w:rPr>
          <w:rFonts w:ascii="Times New Roman" w:hAnsi="Times New Roman" w:cs="Times New Roman"/>
          <w:sz w:val="24"/>
          <w:szCs w:val="24"/>
        </w:rPr>
      </w:pPr>
      <w:r w:rsidRPr="0050704C">
        <w:rPr>
          <w:rFonts w:ascii="Times New Roman" w:hAnsi="Times New Roman" w:cs="Times New Roman"/>
          <w:sz w:val="24"/>
          <w:szCs w:val="24"/>
        </w:rPr>
        <w:t>Темы эссе:</w:t>
      </w:r>
    </w:p>
    <w:p w:rsidR="00520539" w:rsidRPr="0050704C" w:rsidRDefault="0050704C" w:rsidP="0050704C">
      <w:pPr>
        <w:pStyle w:val="a3"/>
        <w:numPr>
          <w:ilvl w:val="0"/>
          <w:numId w:val="6"/>
        </w:numPr>
        <w:jc w:val="both"/>
        <w:rPr>
          <w:rFonts w:ascii="Times New Roman" w:hAnsi="Times New Roman" w:cs="Times New Roman"/>
          <w:b/>
          <w:sz w:val="24"/>
          <w:szCs w:val="24"/>
        </w:rPr>
      </w:pPr>
      <w:r w:rsidRPr="0050704C">
        <w:rPr>
          <w:rFonts w:ascii="Times New Roman" w:hAnsi="Times New Roman" w:cs="Times New Roman"/>
          <w:b/>
          <w:sz w:val="24"/>
          <w:szCs w:val="24"/>
        </w:rPr>
        <w:t>Обычай в торговой купле-продаже</w:t>
      </w:r>
      <w:r w:rsidR="00520539" w:rsidRPr="0050704C">
        <w:rPr>
          <w:rFonts w:ascii="Times New Roman" w:hAnsi="Times New Roman" w:cs="Times New Roman"/>
          <w:b/>
          <w:sz w:val="24"/>
          <w:szCs w:val="24"/>
        </w:rPr>
        <w:t xml:space="preserve"> </w:t>
      </w:r>
    </w:p>
    <w:p w:rsidR="00520539" w:rsidRPr="0050704C" w:rsidRDefault="00520539" w:rsidP="0050704C">
      <w:pPr>
        <w:pStyle w:val="a3"/>
        <w:numPr>
          <w:ilvl w:val="0"/>
          <w:numId w:val="6"/>
        </w:numPr>
        <w:jc w:val="both"/>
        <w:rPr>
          <w:rFonts w:ascii="Times New Roman" w:hAnsi="Times New Roman" w:cs="Times New Roman"/>
          <w:b/>
          <w:sz w:val="24"/>
          <w:szCs w:val="24"/>
        </w:rPr>
      </w:pPr>
      <w:r w:rsidRPr="0050704C">
        <w:rPr>
          <w:rFonts w:ascii="Times New Roman" w:hAnsi="Times New Roman" w:cs="Times New Roman"/>
          <w:b/>
          <w:sz w:val="24"/>
          <w:szCs w:val="24"/>
        </w:rPr>
        <w:t>Цифровые права в торговом о</w:t>
      </w:r>
      <w:r w:rsidR="0050704C" w:rsidRPr="0050704C">
        <w:rPr>
          <w:rFonts w:ascii="Times New Roman" w:hAnsi="Times New Roman" w:cs="Times New Roman"/>
          <w:b/>
          <w:sz w:val="24"/>
          <w:szCs w:val="24"/>
        </w:rPr>
        <w:t>бороте: революция или реновация</w:t>
      </w:r>
    </w:p>
    <w:p w:rsidR="0051770E" w:rsidRPr="0050704C" w:rsidRDefault="0051770E" w:rsidP="0050704C">
      <w:pPr>
        <w:jc w:val="both"/>
        <w:rPr>
          <w:rFonts w:ascii="Times New Roman" w:hAnsi="Times New Roman" w:cs="Times New Roman"/>
          <w:b/>
          <w:sz w:val="24"/>
          <w:szCs w:val="24"/>
          <w:u w:val="single"/>
        </w:rPr>
      </w:pPr>
      <w:r w:rsidRPr="0050704C">
        <w:rPr>
          <w:rFonts w:ascii="Times New Roman" w:hAnsi="Times New Roman" w:cs="Times New Roman"/>
          <w:sz w:val="24"/>
          <w:szCs w:val="24"/>
          <w:lang w:val="en-US"/>
        </w:rPr>
        <w:t>II</w:t>
      </w:r>
      <w:r w:rsidRPr="0050704C">
        <w:rPr>
          <w:rFonts w:ascii="Times New Roman" w:hAnsi="Times New Roman" w:cs="Times New Roman"/>
          <w:sz w:val="24"/>
          <w:szCs w:val="24"/>
        </w:rPr>
        <w:t>.</w:t>
      </w:r>
      <w:r w:rsidRPr="0050704C">
        <w:rPr>
          <w:rFonts w:ascii="Times New Roman" w:hAnsi="Times New Roman" w:cs="Times New Roman"/>
          <w:b/>
          <w:sz w:val="24"/>
          <w:szCs w:val="24"/>
          <w:u w:val="single"/>
        </w:rPr>
        <w:t xml:space="preserve">Кейс </w:t>
      </w:r>
    </w:p>
    <w:p w:rsidR="0051770E" w:rsidRPr="0050704C" w:rsidRDefault="0051770E" w:rsidP="0050704C">
      <w:pPr>
        <w:jc w:val="both"/>
        <w:rPr>
          <w:rFonts w:ascii="Times New Roman" w:hAnsi="Times New Roman" w:cs="Times New Roman"/>
          <w:sz w:val="24"/>
          <w:szCs w:val="24"/>
        </w:rPr>
      </w:pPr>
      <w:r w:rsidRPr="0050704C">
        <w:rPr>
          <w:rFonts w:ascii="Times New Roman" w:hAnsi="Times New Roman" w:cs="Times New Roman"/>
          <w:sz w:val="24"/>
          <w:szCs w:val="24"/>
        </w:rPr>
        <w:t xml:space="preserve">Между торговым домом-экспортером минеральных удобрений и речным пароходством, осуществляющим доставку удобрения внутренним водным транспортом от места их производства в морской порт для отправки иностранным покупателям, возник спор о правовой природе и последствиях заключенного между ними договора. Он был оформлен на типовом бланке, обычно применяемом на морском транспорте, и имел наименование «Договор фрахтования»; среди прочих условий он предусматривал, что торговый дом «гарантирует предъявление к перевозке груза минеральных удобрений в количестве не менее 1 млн. тонн в год», а пароходство обязуется по направляемым им заявкам подавать под погрузку суда необходимой грузовой вместимости и осуществлять перевозку за определенную плату (фрахт), рассчитанную исходя из презумпции полной коммерческой загрузки поданного судна. Плата за перевозку судном, загруженным не полностью, взимается в том же размере, как и за судно, загруженное полностью, т. е. подлежит уплате т. н. «мертвый фрахт». </w:t>
      </w:r>
    </w:p>
    <w:p w:rsidR="0051770E" w:rsidRPr="0050704C" w:rsidRDefault="0051770E" w:rsidP="0050704C">
      <w:pPr>
        <w:jc w:val="both"/>
        <w:rPr>
          <w:rFonts w:ascii="Times New Roman" w:hAnsi="Times New Roman" w:cs="Times New Roman"/>
          <w:sz w:val="24"/>
          <w:szCs w:val="24"/>
        </w:rPr>
      </w:pPr>
      <w:r w:rsidRPr="0050704C">
        <w:rPr>
          <w:rFonts w:ascii="Times New Roman" w:hAnsi="Times New Roman" w:cs="Times New Roman"/>
          <w:sz w:val="24"/>
          <w:szCs w:val="24"/>
        </w:rPr>
        <w:t xml:space="preserve">В течение длительного времени торговый дом никаких заявок на перевозку вообще не направлял; в результате объем груза, предъявленного к перевозке и реально перевезенного пароходством в течение </w:t>
      </w:r>
      <w:proofErr w:type="gramStart"/>
      <w:r w:rsidRPr="0050704C">
        <w:rPr>
          <w:rFonts w:ascii="Times New Roman" w:hAnsi="Times New Roman" w:cs="Times New Roman"/>
          <w:sz w:val="24"/>
          <w:szCs w:val="24"/>
        </w:rPr>
        <w:t>очередного календарного года действия договора</w:t>
      </w:r>
      <w:proofErr w:type="gramEnd"/>
      <w:r w:rsidRPr="0050704C">
        <w:rPr>
          <w:rFonts w:ascii="Times New Roman" w:hAnsi="Times New Roman" w:cs="Times New Roman"/>
          <w:sz w:val="24"/>
          <w:szCs w:val="24"/>
        </w:rPr>
        <w:t xml:space="preserve"> составил чуть более 300 тыс. тонн. Пароходство обратилось в суд с иском о взыскании с Торгового дома «мертвого фрахта» за несостоявшиеся перевозки. </w:t>
      </w:r>
    </w:p>
    <w:p w:rsidR="0051770E" w:rsidRPr="0050704C" w:rsidRDefault="0051770E" w:rsidP="0050704C">
      <w:pPr>
        <w:jc w:val="both"/>
        <w:rPr>
          <w:rFonts w:ascii="Times New Roman" w:hAnsi="Times New Roman" w:cs="Times New Roman"/>
          <w:sz w:val="24"/>
          <w:szCs w:val="24"/>
        </w:rPr>
      </w:pPr>
      <w:r w:rsidRPr="0050704C">
        <w:rPr>
          <w:rFonts w:ascii="Times New Roman" w:hAnsi="Times New Roman" w:cs="Times New Roman"/>
          <w:sz w:val="24"/>
          <w:szCs w:val="24"/>
        </w:rPr>
        <w:t xml:space="preserve">В отзыве на иск Торговый дом указал, что о «мертвом фрахте» можно было бы говорить лишь в отношении договоров фрахтования конкретных судов, действительно осуществляющих хотя бы какую-нибудь перевозку. Таких судов не было; заявки на фрахтование им не подавались, договоров фрахтования не заключалось, перевозки не осуществлялись, платить было не за что. Заключенный же между ними договор договором фрахтования (несмотря на его наименование) на самом деле не является. Он представляет собой договор об организации будущих перевозок – генеральный договор, который сам по себе никаких конкретных судов, являющихся объектами фрахтования, не определяет и никаких обязательств для него, Торгового дома, не устанавливает – он лишь определяет условия возникновения обязательств в будущем. Наоборот, этот договор предусматривает для Торгового дома право предъявить к перевозке определенное количество груза в течение года; такое предъявление осуществляется путем подачи заявок на фрахтование конкретного судна или судов – вот именно из этих заявок и фактов подачи судов и будут складываться </w:t>
      </w:r>
      <w:r w:rsidRPr="0050704C">
        <w:rPr>
          <w:rFonts w:ascii="Times New Roman" w:hAnsi="Times New Roman" w:cs="Times New Roman"/>
          <w:sz w:val="24"/>
          <w:szCs w:val="24"/>
        </w:rPr>
        <w:lastRenderedPageBreak/>
        <w:t xml:space="preserve">договоры фрахтования, устанавливающие конкретные обязательства (в частности, по «мертвому фрахту»); таких заявок же он, Торговый дом, просто не подавал. Рассматривать подачу заявок на перевозку как обязанность невозможно, поскольку пароходство не имеет особого интереса в осуществлении перевозок. Конечно, оно заинтересовано в получении денег за перевозки, но в таком случае оно должно было бы предъявлять иск о взыскании убытков в виде упущенной выгоды, а не об уплате «мертвого фрахта». </w:t>
      </w:r>
    </w:p>
    <w:p w:rsidR="0051770E" w:rsidRPr="0050704C" w:rsidRDefault="0051770E" w:rsidP="0050704C">
      <w:pPr>
        <w:jc w:val="both"/>
        <w:rPr>
          <w:rFonts w:ascii="Times New Roman" w:hAnsi="Times New Roman" w:cs="Times New Roman"/>
          <w:sz w:val="24"/>
          <w:szCs w:val="24"/>
        </w:rPr>
      </w:pPr>
      <w:r w:rsidRPr="0050704C">
        <w:rPr>
          <w:rFonts w:ascii="Times New Roman" w:hAnsi="Times New Roman" w:cs="Times New Roman"/>
          <w:sz w:val="24"/>
          <w:szCs w:val="24"/>
        </w:rPr>
        <w:t xml:space="preserve">Пароходство возразило в том смысле, что заключенный ими договор ясно говорит о том, что он – договор именно фрахтования, а не какой-либо иной; что даже если он генеральный договор, то это дела не меняет, ибо он определяет условия </w:t>
      </w:r>
      <w:r w:rsidRPr="0050704C">
        <w:rPr>
          <w:rFonts w:ascii="Times New Roman" w:hAnsi="Times New Roman" w:cs="Times New Roman"/>
          <w:i/>
          <w:sz w:val="24"/>
          <w:szCs w:val="24"/>
        </w:rPr>
        <w:t>обязательств</w:t>
      </w:r>
      <w:r w:rsidRPr="0050704C">
        <w:rPr>
          <w:rFonts w:ascii="Times New Roman" w:hAnsi="Times New Roman" w:cs="Times New Roman"/>
          <w:sz w:val="24"/>
          <w:szCs w:val="24"/>
        </w:rPr>
        <w:t>; что «мертвый фрахт» - это всего лишь термин, которым в договоре обозначена такая плата, которую Торговый дом должен уплатить в любом случае, независимо от того, сколько груза перевезено и состоялась ли хоть какая-нибудь перевозка вообще; что несмотря на отсутствие заявок со стороны Торгового дома пароходство само, по своей инициативе, подавало необходимые суда под погрузку, которые, простояв на рейде положенное (сталийное) время, уходили обратно без погруженного на них груза и что, следовательно, основания к уплате «мертвого фрахта» налицо.</w:t>
      </w:r>
    </w:p>
    <w:p w:rsidR="00C2086B" w:rsidRPr="0050704C" w:rsidRDefault="00F71D4D" w:rsidP="0050704C">
      <w:pPr>
        <w:spacing w:after="200" w:line="276" w:lineRule="auto"/>
        <w:ind w:left="360"/>
        <w:jc w:val="both"/>
        <w:rPr>
          <w:rFonts w:ascii="Times New Roman" w:hAnsi="Times New Roman" w:cs="Times New Roman"/>
          <w:b/>
          <w:sz w:val="24"/>
          <w:szCs w:val="24"/>
        </w:rPr>
      </w:pPr>
      <w:r w:rsidRPr="0050704C">
        <w:rPr>
          <w:rFonts w:ascii="Times New Roman" w:hAnsi="Times New Roman" w:cs="Times New Roman"/>
          <w:b/>
          <w:sz w:val="24"/>
          <w:szCs w:val="24"/>
          <w:lang w:val="en-US"/>
        </w:rPr>
        <w:t>III</w:t>
      </w:r>
      <w:r w:rsidRPr="0050704C">
        <w:rPr>
          <w:rFonts w:ascii="Times New Roman" w:hAnsi="Times New Roman" w:cs="Times New Roman"/>
          <w:b/>
          <w:sz w:val="24"/>
          <w:szCs w:val="24"/>
        </w:rPr>
        <w:t>.</w:t>
      </w:r>
      <w:r w:rsidR="00C2086B" w:rsidRPr="0050704C">
        <w:rPr>
          <w:rFonts w:ascii="Times New Roman" w:hAnsi="Times New Roman" w:cs="Times New Roman"/>
          <w:sz w:val="24"/>
          <w:szCs w:val="24"/>
        </w:rPr>
        <w:t xml:space="preserve"> </w:t>
      </w:r>
      <w:r w:rsidR="006128FD" w:rsidRPr="0050704C">
        <w:rPr>
          <w:rFonts w:ascii="Times New Roman" w:hAnsi="Times New Roman" w:cs="Times New Roman"/>
          <w:b/>
          <w:sz w:val="24"/>
          <w:szCs w:val="24"/>
        </w:rPr>
        <w:t>П</w:t>
      </w:r>
      <w:r w:rsidR="00C2086B" w:rsidRPr="0050704C">
        <w:rPr>
          <w:rFonts w:ascii="Times New Roman" w:hAnsi="Times New Roman" w:cs="Times New Roman"/>
          <w:b/>
          <w:sz w:val="24"/>
          <w:szCs w:val="24"/>
        </w:rPr>
        <w:t>роект закона по коммерческому и договорному праву</w:t>
      </w:r>
    </w:p>
    <w:p w:rsidR="00F71D4D" w:rsidRPr="0050704C" w:rsidRDefault="009A0F7C" w:rsidP="0050704C">
      <w:pPr>
        <w:jc w:val="both"/>
        <w:rPr>
          <w:rFonts w:ascii="Times New Roman" w:hAnsi="Times New Roman" w:cs="Times New Roman"/>
          <w:sz w:val="24"/>
          <w:szCs w:val="24"/>
        </w:rPr>
      </w:pPr>
      <w:r w:rsidRPr="0050704C">
        <w:rPr>
          <w:rFonts w:ascii="Times New Roman" w:hAnsi="Times New Roman" w:cs="Times New Roman"/>
          <w:sz w:val="24"/>
          <w:szCs w:val="24"/>
        </w:rPr>
        <w:t>С</w:t>
      </w:r>
      <w:r w:rsidR="00F71D4D" w:rsidRPr="0050704C">
        <w:rPr>
          <w:rFonts w:ascii="Times New Roman" w:hAnsi="Times New Roman" w:cs="Times New Roman"/>
          <w:sz w:val="24"/>
          <w:szCs w:val="24"/>
        </w:rPr>
        <w:t>амостоятельно определив наличие пробела, либо актуальной правовой проблемы, либо внутриотраслевой коллизии в следующих сферах: коммерческое право, договорное регулирование коммерческой деятельности или иной теме, относящейся к теме отрасли:</w:t>
      </w:r>
    </w:p>
    <w:p w:rsidR="00F71D4D" w:rsidRPr="0050704C" w:rsidRDefault="00F71D4D" w:rsidP="0050704C">
      <w:pPr>
        <w:pStyle w:val="a3"/>
        <w:numPr>
          <w:ilvl w:val="0"/>
          <w:numId w:val="7"/>
        </w:numPr>
        <w:shd w:val="clear" w:color="auto" w:fill="FFFFFF"/>
        <w:spacing w:after="200" w:line="276" w:lineRule="auto"/>
        <w:jc w:val="both"/>
        <w:rPr>
          <w:rFonts w:ascii="Times New Roman" w:hAnsi="Times New Roman" w:cs="Times New Roman"/>
          <w:sz w:val="24"/>
          <w:szCs w:val="24"/>
        </w:rPr>
      </w:pPr>
      <w:r w:rsidRPr="0050704C">
        <w:rPr>
          <w:rFonts w:ascii="Times New Roman" w:hAnsi="Times New Roman" w:cs="Times New Roman"/>
          <w:sz w:val="24"/>
          <w:szCs w:val="24"/>
        </w:rPr>
        <w:t>разработать соответствующий проект нормативно-правового акта (федеральный закон; указ Президента РФ; постановление Правительства), устраняющий пробел или коллизию либо содержащий решение определенной проблемы и устанавливающий надлежащее регулирование рассматриваемого вопроса;</w:t>
      </w:r>
    </w:p>
    <w:p w:rsidR="00F71D4D" w:rsidRPr="0050704C" w:rsidRDefault="00F71D4D" w:rsidP="0050704C">
      <w:pPr>
        <w:pStyle w:val="a3"/>
        <w:numPr>
          <w:ilvl w:val="0"/>
          <w:numId w:val="7"/>
        </w:numPr>
        <w:shd w:val="clear" w:color="auto" w:fill="FFFFFF"/>
        <w:spacing w:after="200" w:line="276" w:lineRule="auto"/>
        <w:jc w:val="both"/>
        <w:rPr>
          <w:rFonts w:ascii="Times New Roman" w:hAnsi="Times New Roman" w:cs="Times New Roman"/>
          <w:sz w:val="24"/>
          <w:szCs w:val="24"/>
        </w:rPr>
      </w:pPr>
      <w:r w:rsidRPr="0050704C">
        <w:rPr>
          <w:rFonts w:ascii="Times New Roman" w:hAnsi="Times New Roman" w:cs="Times New Roman"/>
          <w:sz w:val="24"/>
          <w:szCs w:val="24"/>
        </w:rPr>
        <w:t>составить пояснительную записку к законопроекту, в котором привести свое обоснование проекта.</w:t>
      </w:r>
    </w:p>
    <w:p w:rsidR="00F71D4D" w:rsidRPr="0050704C" w:rsidRDefault="00F71D4D" w:rsidP="0050704C">
      <w:pPr>
        <w:ind w:firstLine="708"/>
        <w:jc w:val="both"/>
        <w:rPr>
          <w:rFonts w:ascii="Times New Roman" w:hAnsi="Times New Roman" w:cs="Times New Roman"/>
          <w:sz w:val="24"/>
          <w:szCs w:val="24"/>
        </w:rPr>
      </w:pPr>
      <w:r w:rsidRPr="0050704C">
        <w:rPr>
          <w:rFonts w:ascii="Times New Roman" w:hAnsi="Times New Roman" w:cs="Times New Roman"/>
          <w:sz w:val="24"/>
          <w:szCs w:val="24"/>
        </w:rPr>
        <w:t>В ходе выполнения задания участникам разрешается пользоваться необходимыми нормативно-правовыми актами, доступными для изучения материалами судебной практики и статистики, научными трудами. Запрещается использовать проекты ранее изданных или действующих законов, законопроекты, внесенные на рассмотрение палат Федерального Собрания Российской Федерации, а также законопроекты, ранее опубликованные в справочных правовых системах и сети Интернет.</w:t>
      </w:r>
    </w:p>
    <w:p w:rsidR="00D60BD8" w:rsidRDefault="00D60BD8" w:rsidP="0050704C">
      <w:pPr>
        <w:ind w:firstLine="708"/>
        <w:jc w:val="both"/>
        <w:rPr>
          <w:rFonts w:ascii="Times New Roman" w:hAnsi="Times New Roman" w:cs="Times New Roman"/>
          <w:b/>
          <w:sz w:val="24"/>
          <w:szCs w:val="24"/>
        </w:rPr>
      </w:pPr>
    </w:p>
    <w:p w:rsidR="00F71D4D" w:rsidRPr="0050704C" w:rsidRDefault="00F71D4D" w:rsidP="0050704C">
      <w:pPr>
        <w:ind w:firstLine="708"/>
        <w:jc w:val="both"/>
        <w:rPr>
          <w:rFonts w:ascii="Times New Roman" w:hAnsi="Times New Roman" w:cs="Times New Roman"/>
          <w:b/>
          <w:sz w:val="24"/>
          <w:szCs w:val="24"/>
        </w:rPr>
      </w:pPr>
      <w:r w:rsidRPr="0050704C">
        <w:rPr>
          <w:rFonts w:ascii="Times New Roman" w:hAnsi="Times New Roman" w:cs="Times New Roman"/>
          <w:b/>
          <w:sz w:val="24"/>
          <w:szCs w:val="24"/>
        </w:rPr>
        <w:t>Общий объем работы, выполненной участником</w:t>
      </w:r>
      <w:r w:rsidR="00DA6438" w:rsidRPr="0050704C">
        <w:rPr>
          <w:rFonts w:ascii="Times New Roman" w:hAnsi="Times New Roman" w:cs="Times New Roman"/>
          <w:b/>
          <w:sz w:val="24"/>
          <w:szCs w:val="24"/>
        </w:rPr>
        <w:t xml:space="preserve"> Универсиады</w:t>
      </w:r>
      <w:r w:rsidRPr="0050704C">
        <w:rPr>
          <w:rFonts w:ascii="Times New Roman" w:hAnsi="Times New Roman" w:cs="Times New Roman"/>
          <w:b/>
          <w:sz w:val="24"/>
          <w:szCs w:val="24"/>
        </w:rPr>
        <w:t xml:space="preserve">, не должен превышать 20 000 знаков с пробелами (0,5 авторских листа). </w:t>
      </w:r>
    </w:p>
    <w:p w:rsidR="00F71D4D" w:rsidRPr="0050704C" w:rsidRDefault="00F71D4D" w:rsidP="0050704C">
      <w:pPr>
        <w:ind w:firstLine="708"/>
        <w:jc w:val="both"/>
        <w:rPr>
          <w:rFonts w:ascii="Times New Roman" w:hAnsi="Times New Roman" w:cs="Times New Roman"/>
          <w:sz w:val="24"/>
          <w:szCs w:val="24"/>
        </w:rPr>
      </w:pPr>
      <w:r w:rsidRPr="0050704C">
        <w:rPr>
          <w:rFonts w:ascii="Times New Roman" w:hAnsi="Times New Roman" w:cs="Times New Roman"/>
          <w:sz w:val="24"/>
          <w:szCs w:val="24"/>
        </w:rPr>
        <w:t xml:space="preserve">При оценке задания будут учитываться: </w:t>
      </w:r>
    </w:p>
    <w:p w:rsidR="00F71D4D" w:rsidRPr="0050704C" w:rsidRDefault="00F71D4D" w:rsidP="0050704C">
      <w:pPr>
        <w:pStyle w:val="a3"/>
        <w:numPr>
          <w:ilvl w:val="0"/>
          <w:numId w:val="8"/>
        </w:numPr>
        <w:shd w:val="clear" w:color="auto" w:fill="FFFFFF"/>
        <w:spacing w:after="200" w:line="276" w:lineRule="auto"/>
        <w:jc w:val="both"/>
        <w:rPr>
          <w:rFonts w:ascii="Times New Roman" w:hAnsi="Times New Roman" w:cs="Times New Roman"/>
          <w:sz w:val="24"/>
          <w:szCs w:val="24"/>
        </w:rPr>
      </w:pPr>
      <w:r w:rsidRPr="0050704C">
        <w:rPr>
          <w:rFonts w:ascii="Times New Roman" w:hAnsi="Times New Roman" w:cs="Times New Roman"/>
          <w:sz w:val="24"/>
          <w:szCs w:val="24"/>
        </w:rPr>
        <w:t>новизна и актуальность проблематики;</w:t>
      </w:r>
    </w:p>
    <w:p w:rsidR="00F71D4D" w:rsidRPr="0050704C" w:rsidRDefault="00F71D4D" w:rsidP="0050704C">
      <w:pPr>
        <w:pStyle w:val="a3"/>
        <w:numPr>
          <w:ilvl w:val="0"/>
          <w:numId w:val="8"/>
        </w:numPr>
        <w:shd w:val="clear" w:color="auto" w:fill="FFFFFF"/>
        <w:spacing w:after="200" w:line="276" w:lineRule="auto"/>
        <w:jc w:val="both"/>
        <w:rPr>
          <w:rFonts w:ascii="Times New Roman" w:hAnsi="Times New Roman" w:cs="Times New Roman"/>
          <w:sz w:val="24"/>
          <w:szCs w:val="24"/>
        </w:rPr>
      </w:pPr>
      <w:r w:rsidRPr="0050704C">
        <w:rPr>
          <w:rFonts w:ascii="Times New Roman" w:hAnsi="Times New Roman" w:cs="Times New Roman"/>
          <w:sz w:val="24"/>
          <w:szCs w:val="24"/>
        </w:rPr>
        <w:t>качество и объем правового исследования, обоснованно</w:t>
      </w:r>
      <w:r w:rsidR="00DA6438" w:rsidRPr="0050704C">
        <w:rPr>
          <w:rFonts w:ascii="Times New Roman" w:hAnsi="Times New Roman" w:cs="Times New Roman"/>
          <w:sz w:val="24"/>
          <w:szCs w:val="24"/>
        </w:rPr>
        <w:t>сть выводов и предложений</w:t>
      </w:r>
      <w:r w:rsidRPr="0050704C">
        <w:rPr>
          <w:rFonts w:ascii="Times New Roman" w:hAnsi="Times New Roman" w:cs="Times New Roman"/>
          <w:sz w:val="24"/>
          <w:szCs w:val="24"/>
        </w:rPr>
        <w:t>;</w:t>
      </w:r>
    </w:p>
    <w:p w:rsidR="00F71D4D" w:rsidRPr="0050704C" w:rsidRDefault="00F71D4D" w:rsidP="0050704C">
      <w:pPr>
        <w:pStyle w:val="a3"/>
        <w:numPr>
          <w:ilvl w:val="0"/>
          <w:numId w:val="8"/>
        </w:numPr>
        <w:shd w:val="clear" w:color="auto" w:fill="FFFFFF"/>
        <w:spacing w:after="200" w:line="276" w:lineRule="auto"/>
        <w:jc w:val="both"/>
        <w:rPr>
          <w:rFonts w:ascii="Times New Roman" w:hAnsi="Times New Roman" w:cs="Times New Roman"/>
          <w:sz w:val="24"/>
          <w:szCs w:val="24"/>
        </w:rPr>
      </w:pPr>
      <w:r w:rsidRPr="0050704C">
        <w:rPr>
          <w:rFonts w:ascii="Times New Roman" w:hAnsi="Times New Roman" w:cs="Times New Roman"/>
          <w:sz w:val="24"/>
          <w:szCs w:val="24"/>
        </w:rPr>
        <w:t>самостоятельность выполнения работы</w:t>
      </w:r>
    </w:p>
    <w:p w:rsidR="00F71D4D" w:rsidRPr="0050704C" w:rsidRDefault="00F71D4D" w:rsidP="0050704C">
      <w:pPr>
        <w:pStyle w:val="a3"/>
        <w:numPr>
          <w:ilvl w:val="0"/>
          <w:numId w:val="8"/>
        </w:numPr>
        <w:shd w:val="clear" w:color="auto" w:fill="FFFFFF"/>
        <w:spacing w:after="200" w:line="276" w:lineRule="auto"/>
        <w:jc w:val="both"/>
        <w:rPr>
          <w:rFonts w:ascii="Times New Roman" w:hAnsi="Times New Roman" w:cs="Times New Roman"/>
          <w:sz w:val="24"/>
          <w:szCs w:val="24"/>
        </w:rPr>
      </w:pPr>
      <w:r w:rsidRPr="0050704C">
        <w:rPr>
          <w:rFonts w:ascii="Times New Roman" w:hAnsi="Times New Roman" w:cs="Times New Roman"/>
          <w:sz w:val="24"/>
          <w:szCs w:val="24"/>
        </w:rPr>
        <w:t>четкость и последовательности изложения материала в работе;</w:t>
      </w:r>
    </w:p>
    <w:p w:rsidR="00F71D4D" w:rsidRPr="0050704C" w:rsidRDefault="00F71D4D" w:rsidP="0050704C">
      <w:pPr>
        <w:pStyle w:val="a3"/>
        <w:numPr>
          <w:ilvl w:val="0"/>
          <w:numId w:val="8"/>
        </w:numPr>
        <w:shd w:val="clear" w:color="auto" w:fill="FFFFFF"/>
        <w:spacing w:after="200" w:line="276" w:lineRule="auto"/>
        <w:jc w:val="both"/>
        <w:rPr>
          <w:rFonts w:ascii="Times New Roman" w:hAnsi="Times New Roman" w:cs="Times New Roman"/>
          <w:sz w:val="24"/>
          <w:szCs w:val="24"/>
        </w:rPr>
      </w:pPr>
      <w:r w:rsidRPr="0050704C">
        <w:rPr>
          <w:rFonts w:ascii="Times New Roman" w:hAnsi="Times New Roman" w:cs="Times New Roman"/>
          <w:sz w:val="24"/>
          <w:szCs w:val="24"/>
        </w:rPr>
        <w:t xml:space="preserve">сравнительно-правовой метод в аргументации; </w:t>
      </w:r>
    </w:p>
    <w:p w:rsidR="00520539" w:rsidRPr="0050704C" w:rsidRDefault="00F71D4D" w:rsidP="0050704C">
      <w:pPr>
        <w:pStyle w:val="a3"/>
        <w:numPr>
          <w:ilvl w:val="0"/>
          <w:numId w:val="8"/>
        </w:numPr>
        <w:shd w:val="clear" w:color="auto" w:fill="FFFFFF"/>
        <w:spacing w:after="200" w:line="276" w:lineRule="auto"/>
        <w:jc w:val="both"/>
        <w:rPr>
          <w:rFonts w:ascii="Times New Roman" w:hAnsi="Times New Roman" w:cs="Times New Roman"/>
          <w:sz w:val="24"/>
          <w:szCs w:val="24"/>
        </w:rPr>
      </w:pPr>
      <w:r w:rsidRPr="0050704C">
        <w:rPr>
          <w:rFonts w:ascii="Times New Roman" w:hAnsi="Times New Roman" w:cs="Times New Roman"/>
          <w:sz w:val="24"/>
          <w:szCs w:val="24"/>
        </w:rPr>
        <w:t>соответствие проекта основам законодательной техники и правилам русского языка.</w:t>
      </w:r>
    </w:p>
    <w:sectPr w:rsidR="00520539" w:rsidRPr="00507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175D"/>
    <w:multiLevelType w:val="hybridMultilevel"/>
    <w:tmpl w:val="481A60B2"/>
    <w:lvl w:ilvl="0" w:tplc="0A8028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F4727F4"/>
    <w:multiLevelType w:val="multilevel"/>
    <w:tmpl w:val="D1CADA4A"/>
    <w:lvl w:ilvl="0">
      <w:start w:val="2019"/>
      <w:numFmt w:val="decimal"/>
      <w:lvlText w:val="%1"/>
      <w:lvlJc w:val="left"/>
      <w:pPr>
        <w:ind w:left="1425" w:hanging="1425"/>
      </w:pPr>
      <w:rPr>
        <w:rFonts w:hint="default"/>
      </w:rPr>
    </w:lvl>
    <w:lvl w:ilvl="1">
      <w:start w:val="2020"/>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CCA0B24"/>
    <w:multiLevelType w:val="hybridMultilevel"/>
    <w:tmpl w:val="42701F52"/>
    <w:lvl w:ilvl="0" w:tplc="D758E7E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ED23932"/>
    <w:multiLevelType w:val="hybridMultilevel"/>
    <w:tmpl w:val="070CBB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F6557A6"/>
    <w:multiLevelType w:val="hybridMultilevel"/>
    <w:tmpl w:val="81B09D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3E15A54"/>
    <w:multiLevelType w:val="hybridMultilevel"/>
    <w:tmpl w:val="7F265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117F9F"/>
    <w:multiLevelType w:val="hybridMultilevel"/>
    <w:tmpl w:val="31DE6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CC7A2E"/>
    <w:multiLevelType w:val="hybridMultilevel"/>
    <w:tmpl w:val="FD38E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5161F3"/>
    <w:multiLevelType w:val="hybridMultilevel"/>
    <w:tmpl w:val="268E8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6"/>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53"/>
    <w:rsid w:val="00015D53"/>
    <w:rsid w:val="000A0336"/>
    <w:rsid w:val="0050704C"/>
    <w:rsid w:val="0051770E"/>
    <w:rsid w:val="00520539"/>
    <w:rsid w:val="006128FD"/>
    <w:rsid w:val="00670804"/>
    <w:rsid w:val="00710594"/>
    <w:rsid w:val="007E4976"/>
    <w:rsid w:val="009A0F7C"/>
    <w:rsid w:val="00C2086B"/>
    <w:rsid w:val="00D17A24"/>
    <w:rsid w:val="00D60BD8"/>
    <w:rsid w:val="00DA6438"/>
    <w:rsid w:val="00DF3297"/>
    <w:rsid w:val="00EB5907"/>
    <w:rsid w:val="00ED78A9"/>
    <w:rsid w:val="00F71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46ACC-671B-447E-AE91-93236E42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F3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975995">
      <w:bodyDiv w:val="1"/>
      <w:marLeft w:val="0"/>
      <w:marRight w:val="0"/>
      <w:marTop w:val="0"/>
      <w:marBottom w:val="0"/>
      <w:divBdr>
        <w:top w:val="none" w:sz="0" w:space="0" w:color="auto"/>
        <w:left w:val="none" w:sz="0" w:space="0" w:color="auto"/>
        <w:bottom w:val="none" w:sz="0" w:space="0" w:color="auto"/>
        <w:right w:val="none" w:sz="0" w:space="0" w:color="auto"/>
      </w:divBdr>
    </w:div>
    <w:div w:id="122448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869</Words>
  <Characters>4955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Коммерческое право</dc:creator>
  <cp:keywords/>
  <dc:description/>
  <cp:lastModifiedBy>Elena Abrosimova</cp:lastModifiedBy>
  <cp:revision>4</cp:revision>
  <dcterms:created xsi:type="dcterms:W3CDTF">2019-10-28T14:26:00Z</dcterms:created>
  <dcterms:modified xsi:type="dcterms:W3CDTF">2019-10-28T14:38:00Z</dcterms:modified>
</cp:coreProperties>
</file>