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32" w:rsidRPr="004D0932" w:rsidRDefault="004D0932" w:rsidP="004D0932">
      <w:pPr>
        <w:spacing w:after="0" w:line="291" w:lineRule="atLeast"/>
        <w:jc w:val="center"/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bookmarkStart w:id="0" w:name="tesisi_1"/>
      <w:bookmarkEnd w:id="0"/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Требования к оформлению электронного варианта тезисов: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br/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br/>
      </w:r>
    </w:p>
    <w:p w:rsidR="004D0932" w:rsidRPr="004D0932" w:rsidRDefault="004D0932" w:rsidP="004D0932">
      <w:pPr>
        <w:numPr>
          <w:ilvl w:val="0"/>
          <w:numId w:val="1"/>
        </w:numPr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После того, как Вы подали заявку на участие в</w:t>
      </w:r>
      <w:bookmarkStart w:id="1" w:name="_GoBack"/>
      <w:bookmarkEnd w:id="1"/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 xml:space="preserve"> конференции, необходимо загрузить тезисы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lang w:eastAsia="ru-RU"/>
        </w:rPr>
        <w:t>Вашей 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работы.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Форма подачи тезисов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находится в разделе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«Мои события»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личного профиля.</w:t>
      </w:r>
    </w:p>
    <w:p w:rsidR="004D0932" w:rsidRPr="004D0932" w:rsidRDefault="004D0932" w:rsidP="004D0932">
      <w:pPr>
        <w:numPr>
          <w:ilvl w:val="0"/>
          <w:numId w:val="1"/>
        </w:numPr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В окно добавления тезисов вставляется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только текст самих тезисов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. Секцию, подсекцию, название работы, имя, фамилию, отчество, учреждение и электронный адрес вводить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не нужно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 xml:space="preserve">, эти сведения уже указаны над окном добавления тезисов (они автоматически сформированы из поданной </w:t>
      </w:r>
      <w:r w:rsidRPr="004D0932">
        <w:rPr>
          <w:rFonts w:ascii="Times New Roman" w:eastAsia="Times New Roman" w:hAnsi="Times New Roman" w:cs="Times New Roman"/>
          <w:lang w:eastAsia="ru-RU"/>
        </w:rPr>
        <w:t>Вами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заявки на участие в конференции).</w:t>
      </w:r>
    </w:p>
    <w:p w:rsidR="004D0932" w:rsidRPr="004D0932" w:rsidRDefault="004D0932" w:rsidP="004D0932">
      <w:pPr>
        <w:numPr>
          <w:ilvl w:val="0"/>
          <w:numId w:val="1"/>
        </w:numPr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Объем тезисов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: 1 страница (до 3000 печатных знаков включая пробелы и список литературы).</w:t>
      </w:r>
    </w:p>
    <w:p w:rsidR="004D0932" w:rsidRPr="004D0932" w:rsidRDefault="004D0932" w:rsidP="004D0932">
      <w:pPr>
        <w:numPr>
          <w:ilvl w:val="0"/>
          <w:numId w:val="1"/>
        </w:numPr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Для оформления тезисов, которые предполагают наличие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математических формул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, должна использоваться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 xml:space="preserve">система компьютерной верстки </w:t>
      </w:r>
      <w:proofErr w:type="spellStart"/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ТеХ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. В этом случае после окна добавления тезисов необходимо поставить галочку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 xml:space="preserve">«Я использую </w:t>
      </w:r>
      <w:proofErr w:type="spellStart"/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ТеХ</w:t>
      </w:r>
      <w:proofErr w:type="spellEnd"/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»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 xml:space="preserve">, только тогда система будет воспринимать специальные символы и команды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ТеХ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.</w:t>
      </w:r>
    </w:p>
    <w:p w:rsidR="004D0932" w:rsidRPr="004D0932" w:rsidRDefault="004D0932" w:rsidP="004D0932">
      <w:pPr>
        <w:numPr>
          <w:ilvl w:val="0"/>
          <w:numId w:val="1"/>
        </w:numPr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Список литературы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оформляется в алфавитном порядке по фамилии автора, сначала русскоязычная литература, затем иностранная, далее интернет-сайты. В тексте тезисов должны присутствовать ссылки на все источники из списка литературы. Ссылки в тексте тезисов оформляются в виде [n1], [n1, n2, …], где n1, n2 — номера источников в списке литературы.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br/>
        <w:t>Образцы оформления списка литературы для тезисов представлены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hyperlink r:id="rId5" w:history="1">
        <w:r w:rsidR="009B10CD" w:rsidRPr="009B10CD">
          <w:rPr>
            <w:rFonts w:ascii="Times New Roman" w:eastAsia="Times New Roman" w:hAnsi="Times New Roman" w:cs="Times New Roman"/>
            <w:b/>
            <w:bCs/>
            <w:lang w:eastAsia="ru-RU"/>
          </w:rPr>
          <w:t>на</w:t>
        </w:r>
      </w:hyperlink>
      <w:r w:rsidR="009B10CD" w:rsidRPr="009B10CD">
        <w:rPr>
          <w:rFonts w:ascii="Times New Roman" w:eastAsia="Times New Roman" w:hAnsi="Times New Roman" w:cs="Times New Roman"/>
          <w:b/>
          <w:bCs/>
          <w:lang w:eastAsia="ru-RU"/>
        </w:rPr>
        <w:t xml:space="preserve"> странице ниже</w:t>
      </w:r>
      <w:r w:rsidRPr="009B10CD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9B10CD">
        <w:rPr>
          <w:rFonts w:ascii="Times New Roman" w:eastAsia="Times New Roman" w:hAnsi="Times New Roman" w:cs="Times New Roman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br/>
        <w:t>Внимание! При загрузке тезисов через систему автоматического макетирования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нумерацию источников в списке литературы вводить нельзя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, после сохранения тезисов система автоматически нумерует строки. Переход на новый пункт списка производится нажатием клавиши «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Enter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».</w:t>
      </w:r>
    </w:p>
    <w:p w:rsidR="004D0932" w:rsidRPr="004D0932" w:rsidRDefault="004D0932" w:rsidP="004D0932">
      <w:pPr>
        <w:numPr>
          <w:ilvl w:val="0"/>
          <w:numId w:val="1"/>
        </w:numPr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Примечания и цитаты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оформляются по правилам гарвардской системы цитирования (</w:t>
      </w:r>
      <w:r w:rsidRPr="009B10CD">
        <w:rPr>
          <w:rFonts w:ascii="Times New Roman" w:eastAsia="Times New Roman" w:hAnsi="Times New Roman" w:cs="Times New Roman"/>
          <w:b/>
          <w:bCs/>
          <w:lang w:eastAsia="ru-RU"/>
        </w:rPr>
        <w:t>на английском языке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): в тексте в скобках приводятся фамилия цитируемого автора (или фамилия первого автора, если авторов несколько), год издания и страница, а в Списке источников и литературы в конце работы приводятся все источники и публикации в алфавитном порядке. Архивные документы цитируются по автору или началу названия, в списке же приводятся авторы и название документа приводятся полностью со всеми необходимыми реквизитами фонда хранения. Археологические и этнологические находки цитируются по публикациям.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9B10C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Интернет-публикации описываются по правилам ГОСТа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и цитируются согласно общим правилам (по автору и названию).</w:t>
      </w:r>
    </w:p>
    <w:p w:rsidR="004D0932" w:rsidRPr="004D0932" w:rsidRDefault="004D0932" w:rsidP="004D0932">
      <w:pPr>
        <w:numPr>
          <w:ilvl w:val="0"/>
          <w:numId w:val="1"/>
        </w:numPr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shd w:val="clear" w:color="auto" w:fill="FFFFFF"/>
          <w:lang w:eastAsia="ru-RU"/>
        </w:rPr>
        <w:t>Изображения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 xml:space="preserve">загружаются файлам формата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jpg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 xml:space="preserve"> и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png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 xml:space="preserve"> после вставки текста тезисов.</w:t>
      </w:r>
    </w:p>
    <w:p w:rsidR="004D0932" w:rsidRPr="004D0932" w:rsidRDefault="004D0932" w:rsidP="004D0932">
      <w:pPr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shd w:val="clear" w:color="auto" w:fill="FFFFFF"/>
          <w:lang w:eastAsia="ru-RU"/>
        </w:rPr>
        <w:t>Обращаем Ваше внимание, что в случае значительного отклонения электронного варианта от указанных рекомендаций, Оргкомитет оставляет за собой право не рассматривать поступившие тезисы.</w:t>
      </w:r>
    </w:p>
    <w:p w:rsidR="009B10CD" w:rsidRDefault="009B10CD" w:rsidP="009B10CD">
      <w:pPr>
        <w:shd w:val="clear" w:color="auto" w:fill="FFFFFF"/>
        <w:spacing w:before="319" w:after="319" w:line="291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10CD" w:rsidRDefault="009B10CD" w:rsidP="009B10CD">
      <w:pPr>
        <w:shd w:val="clear" w:color="auto" w:fill="FFFFFF"/>
        <w:spacing w:before="319" w:after="319" w:line="291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10CD" w:rsidRDefault="009B10CD" w:rsidP="009B10CD">
      <w:pPr>
        <w:shd w:val="clear" w:color="auto" w:fill="FFFFFF"/>
        <w:spacing w:before="319" w:after="319" w:line="291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B10CD" w:rsidRPr="009B10CD" w:rsidRDefault="009B10CD" w:rsidP="009B10CD">
      <w:pPr>
        <w:shd w:val="clear" w:color="auto" w:fill="FFFFFF"/>
        <w:spacing w:before="319" w:after="319" w:line="291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9B10C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Оформление списка литературы</w:t>
      </w:r>
    </w:p>
    <w:p w:rsidR="009B10CD" w:rsidRPr="004D0932" w:rsidRDefault="009B10CD" w:rsidP="009B10CD">
      <w:pPr>
        <w:shd w:val="clear" w:color="auto" w:fill="FFFFFF"/>
        <w:spacing w:before="319" w:after="319" w:line="291" w:lineRule="atLeast"/>
        <w:ind w:firstLine="340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Список литературы оформляется в алфавитном порядке по фамилии автора, сначала русскоязычная литература, затем иностранная, далее интернет-сайты. На все источники списка литературы в тексте тезисов необходима ссылка, оформленная [1], где 1 — номер источника в списке.</w:t>
      </w:r>
    </w:p>
    <w:p w:rsidR="009B10CD" w:rsidRPr="004D0932" w:rsidRDefault="009B10CD" w:rsidP="009B10CD">
      <w:pPr>
        <w:shd w:val="clear" w:color="auto" w:fill="FFFFFF"/>
        <w:spacing w:before="319" w:after="319" w:line="291" w:lineRule="atLeast"/>
        <w:ind w:firstLine="340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Ниже приводим образцы оформления списка литературы для тезисов, представленных для участия в конференции «Ломоносов».</w:t>
      </w:r>
    </w:p>
    <w:p w:rsidR="009B10CD" w:rsidRPr="004D0932" w:rsidRDefault="009B10CD" w:rsidP="009B10CD">
      <w:pPr>
        <w:shd w:val="clear" w:color="auto" w:fill="FFFFFF"/>
        <w:spacing w:before="319" w:after="319" w:line="291" w:lineRule="atLeast"/>
        <w:ind w:firstLine="340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Для монографий: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Пацына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В.Л., Квасков В.Д. Атлас фонетики и графики арабского языка. М., 2003.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Нушикян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Э.А. Типология интонации эмоциональной речи. Киев; Одесса, 1986.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  <w:t>Достоевский Ф.М. Полное собрание сочинений: В 30 т. Л., 1972-1989. Т. 6, 7, 9.</w:t>
      </w:r>
    </w:p>
    <w:p w:rsidR="009B10CD" w:rsidRPr="004D0932" w:rsidRDefault="009B10CD" w:rsidP="009B10CD">
      <w:pPr>
        <w:shd w:val="clear" w:color="auto" w:fill="FFFFFF"/>
        <w:spacing w:before="319" w:after="319" w:line="291" w:lineRule="atLeast"/>
        <w:ind w:firstLine="340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Для статей в отдельных изданиях и сборниках: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  <w:t>Князев С.В. Фонетическая реализация ударения в различных фразовых позициях в современном русском языке // Фонетика сегодня: актуальные проблемы и университетское преподавание. М, 1998. С. 57-89.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  <w:t>Ткачев И.Ю. Семантический признак ’Накопитель эффекта’ и его релевантность для построения таксономической классификации русских глаголов // Материалы XII Международной конференции студентов, аспирантов и молодых ученых «Ломоносов». 12-15 апреля 2005 г. Т.IV: Иностранные языки. Филология. М., 2005.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  <w:t xml:space="preserve">Писемский А.Ф. Фельетоны Никиты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Безрылова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// Писемский А.Ф. Полн. собр. соч. СПб.; М., 1913. Т. 7. С. 612-625.</w:t>
      </w:r>
    </w:p>
    <w:p w:rsidR="009B10CD" w:rsidRPr="004D0932" w:rsidRDefault="009B10CD" w:rsidP="009B10CD">
      <w:pPr>
        <w:shd w:val="clear" w:color="auto" w:fill="FFFFFF"/>
        <w:spacing w:before="319" w:after="319" w:line="291" w:lineRule="atLeast"/>
        <w:ind w:firstLine="340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Для статей в журналах и периодических изданиях: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  <w:t xml:space="preserve">Панков Ф.И. Функционально-семантическая категория наречной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темпоральности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и система значений наречий времени в русском языке // Вестник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Моск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. ун-та, Сер. 9. Филология. 2005.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No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. 1. С. 45-50.</w:t>
      </w:r>
    </w:p>
    <w:p w:rsidR="009B10CD" w:rsidRPr="004D0932" w:rsidRDefault="009B10CD" w:rsidP="009B10CD">
      <w:pPr>
        <w:shd w:val="clear" w:color="auto" w:fill="FFFFFF"/>
        <w:spacing w:before="319" w:after="319" w:line="291" w:lineRule="atLeast"/>
        <w:ind w:firstLine="340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Словари: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  <w:t>Словарь русских говоров Среднего Урала / Под ред. А.К. Матвеева: В 7 т. Свердловск, 1964-1988.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  <w:t>Федорова Л.Г. Цитата // Литературная энциклопедия терминов и понятий. М., 2001. С. 507.</w:t>
      </w:r>
    </w:p>
    <w:p w:rsidR="009B10CD" w:rsidRPr="004D0932" w:rsidRDefault="009B10CD" w:rsidP="009B10CD">
      <w:pPr>
        <w:shd w:val="clear" w:color="auto" w:fill="FFFFFF"/>
        <w:spacing w:before="319" w:after="319" w:line="291" w:lineRule="atLeast"/>
        <w:ind w:firstLine="340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Для авторефератов: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  <w:t xml:space="preserve">Калюжная И.А. Концепт «детство» в немецкой и русской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лингвокультурах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.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Автореф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.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дисс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. ... канд.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филол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. наук. Волгоград, 2007.</w:t>
      </w:r>
    </w:p>
    <w:p w:rsidR="009B10CD" w:rsidRPr="004D0932" w:rsidRDefault="009B10CD" w:rsidP="009B10CD">
      <w:pPr>
        <w:shd w:val="clear" w:color="auto" w:fill="FFFFFF"/>
        <w:spacing w:before="319" w:after="319" w:line="291" w:lineRule="atLeast"/>
        <w:ind w:firstLine="340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Интернет-сайт и источники из интернета: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Грамота.ру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: http://www.gramota.ru</w:t>
      </w:r>
    </w:p>
    <w:p w:rsidR="004D0932" w:rsidRPr="004D0932" w:rsidRDefault="004D0932" w:rsidP="004D0932">
      <w:pPr>
        <w:spacing w:before="319" w:after="319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10CD" w:rsidRDefault="009B10CD" w:rsidP="004D0932">
      <w:pPr>
        <w:shd w:val="clear" w:color="auto" w:fill="FFFFFF"/>
        <w:spacing w:before="319" w:after="319" w:line="291" w:lineRule="atLeast"/>
        <w:jc w:val="center"/>
        <w:rPr>
          <w:rFonts w:ascii="Times New Roman" w:eastAsia="Times New Roman" w:hAnsi="Times New Roman" w:cs="Times New Roman"/>
          <w:b/>
          <w:bCs/>
          <w:color w:val="2992D4"/>
          <w:lang w:eastAsia="ru-RU"/>
        </w:rPr>
      </w:pPr>
    </w:p>
    <w:sectPr w:rsidR="009B10CD" w:rsidSect="00AA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3AB2"/>
    <w:multiLevelType w:val="multilevel"/>
    <w:tmpl w:val="1DD8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7494A"/>
    <w:multiLevelType w:val="multilevel"/>
    <w:tmpl w:val="9F5A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246D20"/>
    <w:multiLevelType w:val="multilevel"/>
    <w:tmpl w:val="78AE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characterSpacingControl w:val="doNotCompress"/>
  <w:compat/>
  <w:rsids>
    <w:rsidRoot w:val="004D0932"/>
    <w:rsid w:val="004D0932"/>
    <w:rsid w:val="006642B0"/>
    <w:rsid w:val="009B10CD"/>
    <w:rsid w:val="00AA4FDF"/>
    <w:rsid w:val="00AC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ub.youngscience.ru/rus/event/3000/page/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2017-01-24T09:43:00Z</dcterms:created>
  <dcterms:modified xsi:type="dcterms:W3CDTF">2017-01-24T09:43:00Z</dcterms:modified>
</cp:coreProperties>
</file>