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6AEA" w14:textId="10F61370" w:rsidR="00645162" w:rsidRDefault="00645162" w:rsidP="00645162">
      <w:pPr>
        <w:pStyle w:val="1"/>
        <w:ind w:firstLine="567"/>
        <w:jc w:val="both"/>
      </w:pPr>
      <w:r w:rsidRPr="00645162">
        <w:t>Возрастная и образовательная селективность внутренней миграции в Бутане</w:t>
      </w:r>
    </w:p>
    <w:p w14:paraId="1999E468" w14:textId="3FCB3F3E" w:rsidR="00645162" w:rsidRPr="00645162" w:rsidRDefault="00645162" w:rsidP="00645162">
      <w:pPr>
        <w:spacing w:line="240" w:lineRule="auto"/>
        <w:ind w:firstLine="567"/>
        <w:rPr>
          <w:b/>
          <w:bCs/>
          <w:sz w:val="24"/>
          <w:szCs w:val="24"/>
        </w:rPr>
      </w:pPr>
      <w:r w:rsidRPr="00645162">
        <w:rPr>
          <w:b/>
          <w:bCs/>
          <w:sz w:val="24"/>
          <w:szCs w:val="24"/>
        </w:rPr>
        <w:t>Рязанов Ян Андреевич</w:t>
      </w:r>
    </w:p>
    <w:p w14:paraId="61A9400A" w14:textId="6419C9AD" w:rsidR="00645162" w:rsidRPr="00645162" w:rsidRDefault="00645162" w:rsidP="00645162">
      <w:pPr>
        <w:spacing w:line="240" w:lineRule="auto"/>
        <w:ind w:firstLine="567"/>
        <w:rPr>
          <w:i/>
          <w:iCs/>
          <w:sz w:val="24"/>
          <w:szCs w:val="24"/>
        </w:rPr>
      </w:pPr>
      <w:r>
        <w:rPr>
          <w:i/>
          <w:iCs/>
          <w:sz w:val="24"/>
          <w:szCs w:val="24"/>
        </w:rPr>
        <w:t>2 курс магистратуры</w:t>
      </w:r>
    </w:p>
    <w:p w14:paraId="4BF1E39F" w14:textId="77777777" w:rsidR="00645162" w:rsidRPr="00645162" w:rsidRDefault="00645162" w:rsidP="00645162">
      <w:pPr>
        <w:spacing w:line="240" w:lineRule="auto"/>
        <w:ind w:firstLine="567"/>
        <w:rPr>
          <w:i/>
          <w:iCs/>
          <w:sz w:val="24"/>
          <w:szCs w:val="24"/>
        </w:rPr>
      </w:pPr>
      <w:r w:rsidRPr="00645162">
        <w:rPr>
          <w:i/>
          <w:iCs/>
          <w:sz w:val="24"/>
          <w:szCs w:val="24"/>
        </w:rPr>
        <w:t xml:space="preserve">Московский государственный университет имени </w:t>
      </w:r>
      <w:proofErr w:type="spellStart"/>
      <w:r w:rsidRPr="00645162">
        <w:rPr>
          <w:i/>
          <w:iCs/>
          <w:sz w:val="24"/>
          <w:szCs w:val="24"/>
        </w:rPr>
        <w:t>М.В.Ломоносова</w:t>
      </w:r>
      <w:proofErr w:type="spellEnd"/>
      <w:r w:rsidRPr="00645162">
        <w:rPr>
          <w:i/>
          <w:iCs/>
          <w:sz w:val="24"/>
          <w:szCs w:val="24"/>
        </w:rPr>
        <w:t xml:space="preserve">, </w:t>
      </w:r>
    </w:p>
    <w:p w14:paraId="7A22EB13" w14:textId="50DED07B" w:rsidR="00645162" w:rsidRPr="00645162" w:rsidRDefault="00645162" w:rsidP="00645162">
      <w:pPr>
        <w:spacing w:line="240" w:lineRule="auto"/>
        <w:ind w:firstLine="567"/>
        <w:rPr>
          <w:i/>
          <w:iCs/>
          <w:sz w:val="24"/>
          <w:szCs w:val="24"/>
        </w:rPr>
      </w:pPr>
      <w:r w:rsidRPr="00645162">
        <w:rPr>
          <w:i/>
          <w:iCs/>
          <w:sz w:val="24"/>
          <w:szCs w:val="24"/>
        </w:rPr>
        <w:t>ИСАА</w:t>
      </w:r>
      <w:r w:rsidRPr="00645162">
        <w:rPr>
          <w:i/>
          <w:iCs/>
          <w:sz w:val="24"/>
          <w:szCs w:val="24"/>
        </w:rPr>
        <w:t>, Москва, Россия</w:t>
      </w:r>
    </w:p>
    <w:p w14:paraId="476EE7B4" w14:textId="6CA359FA" w:rsidR="00645162" w:rsidRPr="00645162" w:rsidRDefault="00645162" w:rsidP="00645162">
      <w:pPr>
        <w:spacing w:line="240" w:lineRule="auto"/>
        <w:ind w:firstLine="567"/>
        <w:rPr>
          <w:i/>
          <w:iCs/>
          <w:sz w:val="24"/>
          <w:szCs w:val="24"/>
        </w:rPr>
      </w:pPr>
      <w:r w:rsidRPr="00645162">
        <w:rPr>
          <w:i/>
          <w:iCs/>
          <w:sz w:val="24"/>
          <w:szCs w:val="24"/>
        </w:rPr>
        <w:t xml:space="preserve">E–mail: </w:t>
      </w:r>
      <w:r w:rsidRPr="00645162">
        <w:rPr>
          <w:i/>
          <w:iCs/>
          <w:sz w:val="24"/>
          <w:szCs w:val="24"/>
        </w:rPr>
        <w:t>rjazanov9111.gmail.com</w:t>
      </w:r>
    </w:p>
    <w:p w14:paraId="6B3307FA" w14:textId="77777777" w:rsidR="00645162" w:rsidRDefault="00645162" w:rsidP="00645162">
      <w:pPr>
        <w:spacing w:line="240" w:lineRule="auto"/>
        <w:ind w:firstLine="567"/>
        <w:rPr>
          <w:sz w:val="24"/>
          <w:szCs w:val="24"/>
        </w:rPr>
      </w:pPr>
    </w:p>
    <w:p w14:paraId="2BD2788C" w14:textId="50ABD5B9" w:rsidR="007A1D89" w:rsidRPr="00645162" w:rsidRDefault="007A1D89" w:rsidP="00645162">
      <w:pPr>
        <w:spacing w:line="240" w:lineRule="auto"/>
        <w:ind w:firstLine="567"/>
        <w:rPr>
          <w:sz w:val="24"/>
          <w:szCs w:val="24"/>
        </w:rPr>
      </w:pPr>
      <w:r w:rsidRPr="00645162">
        <w:rPr>
          <w:sz w:val="24"/>
          <w:szCs w:val="24"/>
        </w:rPr>
        <w:t xml:space="preserve">Внутренняя миграция в Бутане носит выраженно селективный характер по возрасту, уровню образования и причинам переезда, что систематически отличает мигрантов от </w:t>
      </w:r>
      <w:proofErr w:type="spellStart"/>
      <w:r w:rsidRPr="00645162">
        <w:rPr>
          <w:sz w:val="24"/>
          <w:szCs w:val="24"/>
        </w:rPr>
        <w:t>немигрантов</w:t>
      </w:r>
      <w:proofErr w:type="spellEnd"/>
      <w:r w:rsidRPr="00645162">
        <w:rPr>
          <w:sz w:val="24"/>
          <w:szCs w:val="24"/>
        </w:rPr>
        <w:t>.</w:t>
      </w:r>
      <w:r w:rsidR="004D382E" w:rsidRPr="00645162">
        <w:rPr>
          <w:sz w:val="24"/>
          <w:szCs w:val="24"/>
        </w:rPr>
        <w:t xml:space="preserve"> </w:t>
      </w:r>
      <w:r w:rsidR="004D382E" w:rsidRPr="00645162">
        <w:rPr>
          <w:sz w:val="24"/>
          <w:szCs w:val="24"/>
        </w:rPr>
        <w:t xml:space="preserve">Анализ основан на </w:t>
      </w:r>
      <w:proofErr w:type="spellStart"/>
      <w:r w:rsidR="004D382E" w:rsidRPr="00645162">
        <w:rPr>
          <w:sz w:val="24"/>
          <w:szCs w:val="24"/>
        </w:rPr>
        <w:t>микроданных</w:t>
      </w:r>
      <w:proofErr w:type="spellEnd"/>
      <w:r w:rsidR="004D382E" w:rsidRPr="00645162">
        <w:rPr>
          <w:sz w:val="24"/>
          <w:szCs w:val="24"/>
        </w:rPr>
        <w:t xml:space="preserve"> Переписи населения и жилья Бутана 2017 года, предоставленных Статистическим бюро Бутана</w:t>
      </w:r>
      <w:r w:rsidR="004D382E" w:rsidRPr="00645162">
        <w:rPr>
          <w:rStyle w:val="a9"/>
          <w:sz w:val="24"/>
          <w:szCs w:val="24"/>
        </w:rPr>
        <w:footnoteReference w:id="1"/>
      </w:r>
      <w:r w:rsidR="004D382E" w:rsidRPr="00645162">
        <w:rPr>
          <w:sz w:val="24"/>
          <w:szCs w:val="24"/>
        </w:rPr>
        <w:t>.</w:t>
      </w:r>
    </w:p>
    <w:p w14:paraId="16132B6B" w14:textId="51D53786" w:rsidR="007A1D89" w:rsidRPr="00645162" w:rsidRDefault="007A1D89" w:rsidP="00645162">
      <w:pPr>
        <w:pStyle w:val="2"/>
        <w:spacing w:line="240" w:lineRule="auto"/>
        <w:ind w:firstLine="567"/>
        <w:rPr>
          <w:sz w:val="24"/>
          <w:szCs w:val="24"/>
        </w:rPr>
      </w:pPr>
      <w:r w:rsidRPr="00645162">
        <w:rPr>
          <w:sz w:val="24"/>
          <w:szCs w:val="24"/>
        </w:rPr>
        <w:t>​Возрастные особенности внутренней миграции</w:t>
      </w:r>
    </w:p>
    <w:p w14:paraId="7875544D" w14:textId="50DB6B93" w:rsidR="007A1D89" w:rsidRPr="00645162" w:rsidRDefault="007A1D89" w:rsidP="00645162">
      <w:pPr>
        <w:spacing w:line="240" w:lineRule="auto"/>
        <w:ind w:firstLine="567"/>
        <w:rPr>
          <w:sz w:val="24"/>
          <w:szCs w:val="24"/>
        </w:rPr>
      </w:pPr>
      <w:r w:rsidRPr="00645162">
        <w:rPr>
          <w:sz w:val="24"/>
          <w:szCs w:val="24"/>
        </w:rPr>
        <w:t xml:space="preserve">Сравнение возраста мигрантов и </w:t>
      </w:r>
      <w:proofErr w:type="spellStart"/>
      <w:r w:rsidRPr="00645162">
        <w:rPr>
          <w:sz w:val="24"/>
          <w:szCs w:val="24"/>
        </w:rPr>
        <w:t>немигрантов</w:t>
      </w:r>
      <w:proofErr w:type="spellEnd"/>
      <w:r w:rsidRPr="00645162">
        <w:rPr>
          <w:sz w:val="24"/>
          <w:szCs w:val="24"/>
        </w:rPr>
        <w:t xml:space="preserve"> с помощью </w:t>
      </w:r>
      <w:proofErr w:type="spellStart"/>
      <w:r w:rsidRPr="00645162">
        <w:rPr>
          <w:sz w:val="24"/>
          <w:szCs w:val="24"/>
        </w:rPr>
        <w:t>двувыборочного</w:t>
      </w:r>
      <w:proofErr w:type="spellEnd"/>
      <w:r w:rsidRPr="00645162">
        <w:rPr>
          <w:sz w:val="24"/>
          <w:szCs w:val="24"/>
        </w:rPr>
        <w:t xml:space="preserve"> критерия Стьюдента для выборок с неравными дисперсиями (тест Уэлча) показывает статистически значимые различия. Средний возраст мигрантов составляет 29,7 года, тогда как средний возраст </w:t>
      </w:r>
      <w:proofErr w:type="spellStart"/>
      <w:r w:rsidRPr="00645162">
        <w:rPr>
          <w:sz w:val="24"/>
          <w:szCs w:val="24"/>
        </w:rPr>
        <w:t>немигрантов</w:t>
      </w:r>
      <w:proofErr w:type="spellEnd"/>
      <w:r w:rsidRPr="00645162">
        <w:rPr>
          <w:sz w:val="24"/>
          <w:szCs w:val="24"/>
        </w:rPr>
        <w:t xml:space="preserve"> – 28,1 года; разность средних равна 1,6 года, доверительный интервал 95 процентов для этой разности лежит в интервале от 1,51 до 1,69 года</w:t>
      </w:r>
      <w:r w:rsidR="00BA2F40" w:rsidRPr="00645162">
        <w:rPr>
          <w:sz w:val="24"/>
          <w:szCs w:val="24"/>
        </w:rPr>
        <w:t xml:space="preserve">, </w:t>
      </w:r>
      <w:r w:rsidRPr="00645162">
        <w:rPr>
          <w:sz w:val="24"/>
          <w:szCs w:val="24"/>
        </w:rPr>
        <w:t xml:space="preserve">p‑значение меньше 0,001. Таблица эмпирических вероятностей для статуса миграции по возрастам показывает, что доля мигрантов среди людей данного возраста максимальна в молодёжных и </w:t>
      </w:r>
      <w:proofErr w:type="spellStart"/>
      <w:r w:rsidRPr="00645162">
        <w:rPr>
          <w:sz w:val="24"/>
          <w:szCs w:val="24"/>
        </w:rPr>
        <w:t>ранневзрослых</w:t>
      </w:r>
      <w:proofErr w:type="spellEnd"/>
      <w:r w:rsidRPr="00645162">
        <w:rPr>
          <w:sz w:val="24"/>
          <w:szCs w:val="24"/>
        </w:rPr>
        <w:t xml:space="preserve"> группах (примерно от конца подросткового возраста до тридцати с небольшим лет), а в детских и пожилых возрастах доля мигрантов ниже.</w:t>
      </w:r>
    </w:p>
    <w:p w14:paraId="202B1948" w14:textId="61B78247" w:rsidR="007A1D89" w:rsidRPr="00645162" w:rsidRDefault="007A1D89" w:rsidP="00645162">
      <w:pPr>
        <w:spacing w:line="240" w:lineRule="auto"/>
        <w:ind w:firstLine="567"/>
        <w:rPr>
          <w:sz w:val="24"/>
          <w:szCs w:val="24"/>
        </w:rPr>
      </w:pPr>
      <w:r w:rsidRPr="00645162">
        <w:rPr>
          <w:sz w:val="24"/>
          <w:szCs w:val="24"/>
        </w:rPr>
        <w:t>​Для группы мигрантов дополнительно оценивалось различие возрастной структуры по типу местности проживания. Тест Уэлча между мигрантами, проживающими в городской местности, и мигрантами в сельской местности, показывает, что городские мигранты статистически значимо моложе сельских. Средний возраст мигрантов в городах равен 29,3 года, в сельской местности – 30,3 года; разность средних составляет −0,96 года (городские мигранты в среднем моложе), доверительный интервал 95 процентов для разности от −1,07 до −0,84 года при p‑значении меньше 0,001. Таблица эмпирических вероятностей для городской и сельской местности среди мигрантов по возрастам показывает, что в интервале позднего детства и молодости доля городских мигрантов в данной возрастной группе часто превышает долю сельских, тогда как в старших возрастах относительная доля сельских мигрантов увеличивается.</w:t>
      </w:r>
      <w:r w:rsidR="00147ACD" w:rsidRPr="00645162">
        <w:rPr>
          <w:sz w:val="24"/>
          <w:szCs w:val="24"/>
        </w:rPr>
        <w:t xml:space="preserve"> Это объясняется расширением доступа к современному образованию, который меняет карьерные ожидания молодых людей и стимулирует приток молодёжи в города</w:t>
      </w:r>
      <w:r w:rsidR="00147ACD" w:rsidRPr="00645162">
        <w:rPr>
          <w:rStyle w:val="a9"/>
          <w:sz w:val="24"/>
          <w:szCs w:val="24"/>
        </w:rPr>
        <w:footnoteReference w:id="2"/>
      </w:r>
      <w:r w:rsidR="00147ACD" w:rsidRPr="00645162">
        <w:rPr>
          <w:sz w:val="24"/>
          <w:szCs w:val="24"/>
        </w:rPr>
        <w:t>.</w:t>
      </w:r>
    </w:p>
    <w:p w14:paraId="2B0E10F0" w14:textId="691B7071" w:rsidR="007A1D89" w:rsidRPr="00645162" w:rsidRDefault="004D382E" w:rsidP="00645162">
      <w:pPr>
        <w:pStyle w:val="2"/>
        <w:spacing w:line="240" w:lineRule="auto"/>
        <w:ind w:firstLine="567"/>
        <w:rPr>
          <w:sz w:val="24"/>
          <w:szCs w:val="24"/>
        </w:rPr>
      </w:pPr>
      <w:r w:rsidRPr="00645162">
        <w:rPr>
          <w:sz w:val="24"/>
          <w:szCs w:val="24"/>
        </w:rPr>
        <w:t>Образовательные особенности внутренней миграции</w:t>
      </w:r>
    </w:p>
    <w:p w14:paraId="59029D23" w14:textId="28EDC18F" w:rsidR="007A1D89" w:rsidRPr="00645162" w:rsidRDefault="007A1D89" w:rsidP="00645162">
      <w:pPr>
        <w:spacing w:line="240" w:lineRule="auto"/>
        <w:ind w:firstLine="567"/>
        <w:rPr>
          <w:sz w:val="24"/>
          <w:szCs w:val="24"/>
        </w:rPr>
      </w:pPr>
      <w:r w:rsidRPr="00645162">
        <w:rPr>
          <w:sz w:val="24"/>
          <w:szCs w:val="24"/>
        </w:rPr>
        <w:t xml:space="preserve">Сравнение средних значений </w:t>
      </w:r>
      <w:r w:rsidR="004D382E" w:rsidRPr="00645162">
        <w:rPr>
          <w:sz w:val="24"/>
          <w:szCs w:val="24"/>
        </w:rPr>
        <w:t>последнего завершённого этапа образования</w:t>
      </w:r>
      <w:r w:rsidRPr="00645162">
        <w:rPr>
          <w:sz w:val="24"/>
          <w:szCs w:val="24"/>
        </w:rPr>
        <w:t xml:space="preserve"> между мигрантами и </w:t>
      </w:r>
      <w:proofErr w:type="spellStart"/>
      <w:r w:rsidRPr="00645162">
        <w:rPr>
          <w:sz w:val="24"/>
          <w:szCs w:val="24"/>
        </w:rPr>
        <w:t>немигрантами</w:t>
      </w:r>
      <w:proofErr w:type="spellEnd"/>
      <w:r w:rsidRPr="00645162">
        <w:rPr>
          <w:sz w:val="24"/>
          <w:szCs w:val="24"/>
        </w:rPr>
        <w:t xml:space="preserve"> с помощью теста Уэлча выявляет крупный разрыв. Средний образовательный стаж мигрантов составляет 6,2 года, а средний стаж </w:t>
      </w:r>
      <w:proofErr w:type="spellStart"/>
      <w:r w:rsidRPr="00645162">
        <w:rPr>
          <w:sz w:val="24"/>
          <w:szCs w:val="24"/>
        </w:rPr>
        <w:t>немигрантов</w:t>
      </w:r>
      <w:proofErr w:type="spellEnd"/>
      <w:r w:rsidRPr="00645162">
        <w:rPr>
          <w:sz w:val="24"/>
          <w:szCs w:val="24"/>
        </w:rPr>
        <w:t xml:space="preserve"> – 3,1 года; разность средних равна 3,1 года, доверительный интервал 95 процентов составляет от 3,08 до 3,13 года, p‑значение меньше 0,001. Таблица эмпирических вероятностей для статуса миграции по уровням образования показывает, что доля мигрантов среди обладателей высшего и </w:t>
      </w:r>
      <w:proofErr w:type="spellStart"/>
      <w:r w:rsidRPr="00645162">
        <w:rPr>
          <w:sz w:val="24"/>
          <w:szCs w:val="24"/>
        </w:rPr>
        <w:t>послесреднего</w:t>
      </w:r>
      <w:proofErr w:type="spellEnd"/>
      <w:r w:rsidRPr="00645162">
        <w:rPr>
          <w:sz w:val="24"/>
          <w:szCs w:val="24"/>
        </w:rPr>
        <w:t xml:space="preserve"> образования существенно выше, чем среди лиц без образования или с низкими уровнями. Например, для уровней </w:t>
      </w:r>
      <w:proofErr w:type="spellStart"/>
      <w:r w:rsidRPr="00645162">
        <w:rPr>
          <w:sz w:val="24"/>
          <w:szCs w:val="24"/>
        </w:rPr>
        <w:t>Diploma</w:t>
      </w:r>
      <w:proofErr w:type="spellEnd"/>
      <w:r w:rsidRPr="00645162">
        <w:rPr>
          <w:sz w:val="24"/>
          <w:szCs w:val="24"/>
        </w:rPr>
        <w:t xml:space="preserve"> и профессиональных сертификатов (VTI/TTI/RTI </w:t>
      </w:r>
      <w:proofErr w:type="spellStart"/>
      <w:r w:rsidRPr="00645162">
        <w:rPr>
          <w:sz w:val="24"/>
          <w:szCs w:val="24"/>
        </w:rPr>
        <w:t>Certificates</w:t>
      </w:r>
      <w:proofErr w:type="spellEnd"/>
      <w:r w:rsidRPr="00645162">
        <w:rPr>
          <w:sz w:val="24"/>
          <w:szCs w:val="24"/>
        </w:rPr>
        <w:t xml:space="preserve">) доля мигрантов превышает 0,85–0,90, для бакалавриата и магистратуры – около 0,73–0,78, тогда как среди лиц, никогда не посещавших учебные заведения, и среди учащихся начальных классов доля </w:t>
      </w:r>
      <w:r w:rsidRPr="00645162">
        <w:rPr>
          <w:sz w:val="24"/>
          <w:szCs w:val="24"/>
        </w:rPr>
        <w:lastRenderedPageBreak/>
        <w:t>мигрантов, как правило, не превышает 0,40–0,48.</w:t>
      </w:r>
      <w:r w:rsidR="007D139D" w:rsidRPr="00645162">
        <w:rPr>
          <w:sz w:val="24"/>
          <w:szCs w:val="24"/>
        </w:rPr>
        <w:t xml:space="preserve"> Это связано с неравномерным распределением или отсутствием в некоторых регионах образовательных учреждений, особенно в сфере высшего образования</w:t>
      </w:r>
      <w:r w:rsidR="007D139D" w:rsidRPr="00645162">
        <w:rPr>
          <w:rStyle w:val="a9"/>
          <w:sz w:val="24"/>
          <w:szCs w:val="24"/>
        </w:rPr>
        <w:footnoteReference w:id="3"/>
      </w:r>
      <w:r w:rsidR="007D139D" w:rsidRPr="00645162">
        <w:rPr>
          <w:sz w:val="24"/>
          <w:szCs w:val="24"/>
        </w:rPr>
        <w:t>.</w:t>
      </w:r>
    </w:p>
    <w:p w14:paraId="17A20F13" w14:textId="77777777" w:rsidR="007A1D89" w:rsidRPr="00645162" w:rsidRDefault="007A1D89" w:rsidP="00645162">
      <w:pPr>
        <w:pStyle w:val="2"/>
        <w:spacing w:line="240" w:lineRule="auto"/>
        <w:ind w:firstLine="567"/>
        <w:rPr>
          <w:sz w:val="24"/>
          <w:szCs w:val="24"/>
        </w:rPr>
      </w:pPr>
      <w:r w:rsidRPr="00645162">
        <w:rPr>
          <w:sz w:val="24"/>
          <w:szCs w:val="24"/>
        </w:rPr>
        <w:t>Мотивы миграции по возрасту и образованию</w:t>
      </w:r>
    </w:p>
    <w:p w14:paraId="3F29103D" w14:textId="1717ED50" w:rsidR="007A1D89" w:rsidRPr="00645162" w:rsidRDefault="007A1D89" w:rsidP="00645162">
      <w:pPr>
        <w:spacing w:line="240" w:lineRule="auto"/>
        <w:ind w:firstLine="567"/>
        <w:rPr>
          <w:sz w:val="24"/>
          <w:szCs w:val="24"/>
        </w:rPr>
      </w:pPr>
      <w:r w:rsidRPr="00645162">
        <w:rPr>
          <w:sz w:val="24"/>
          <w:szCs w:val="24"/>
        </w:rPr>
        <w:t xml:space="preserve">Распределение причин миграции по возрастам среди мигрантов показывает смену доминирующих мотивов в ходе жизненного цикла. В младших возрастах (0–9 лет) основным мотивом миграции выступает семейный переезд, доля которого в структуре причин для этих возрастов часто превышает две трети; заметна также роль категории </w:t>
      </w:r>
      <w:proofErr w:type="spellStart"/>
      <w:r w:rsidRPr="00645162">
        <w:rPr>
          <w:sz w:val="24"/>
          <w:szCs w:val="24"/>
        </w:rPr>
        <w:t>Never</w:t>
      </w:r>
      <w:proofErr w:type="spellEnd"/>
      <w:r w:rsidRPr="00645162">
        <w:rPr>
          <w:sz w:val="24"/>
          <w:szCs w:val="24"/>
        </w:rPr>
        <w:t xml:space="preserve"> </w:t>
      </w:r>
      <w:proofErr w:type="spellStart"/>
      <w:r w:rsidRPr="00645162">
        <w:rPr>
          <w:sz w:val="24"/>
          <w:szCs w:val="24"/>
        </w:rPr>
        <w:t>moved</w:t>
      </w:r>
      <w:proofErr w:type="spellEnd"/>
      <w:r w:rsidRPr="00645162">
        <w:rPr>
          <w:sz w:val="24"/>
          <w:szCs w:val="24"/>
        </w:rPr>
        <w:t xml:space="preserve">, отражающей включённость детей в перемещение домохозяйств. В подростковом и молодёжном возрасте (примерно от 12 до 24 лет) существенно возрастает доля миграции по причинам, связанным с образованием (категория Education): в возрастах около </w:t>
      </w:r>
      <w:proofErr w:type="gramStart"/>
      <w:r w:rsidRPr="00645162">
        <w:rPr>
          <w:sz w:val="24"/>
          <w:szCs w:val="24"/>
        </w:rPr>
        <w:t>15</w:t>
      </w:r>
      <w:r w:rsidR="004D382E" w:rsidRPr="00645162">
        <w:rPr>
          <w:sz w:val="24"/>
          <w:szCs w:val="24"/>
        </w:rPr>
        <w:t>-</w:t>
      </w:r>
      <w:r w:rsidRPr="00645162">
        <w:rPr>
          <w:sz w:val="24"/>
          <w:szCs w:val="24"/>
        </w:rPr>
        <w:t>19</w:t>
      </w:r>
      <w:proofErr w:type="gramEnd"/>
      <w:r w:rsidRPr="00645162">
        <w:rPr>
          <w:sz w:val="24"/>
          <w:szCs w:val="24"/>
        </w:rPr>
        <w:t xml:space="preserve"> лет доля этой причины среди всех причин миграции достигает 0,28–0,58, тогда как доля </w:t>
      </w:r>
      <w:r w:rsidR="004D382E" w:rsidRPr="00645162">
        <w:rPr>
          <w:sz w:val="24"/>
          <w:szCs w:val="24"/>
        </w:rPr>
        <w:t>переезда с семьёй</w:t>
      </w:r>
      <w:r w:rsidRPr="00645162">
        <w:rPr>
          <w:sz w:val="24"/>
          <w:szCs w:val="24"/>
        </w:rPr>
        <w:t xml:space="preserve"> постепенно снижается. В возрастах порядка </w:t>
      </w:r>
      <w:proofErr w:type="gramStart"/>
      <w:r w:rsidRPr="00645162">
        <w:rPr>
          <w:sz w:val="24"/>
          <w:szCs w:val="24"/>
        </w:rPr>
        <w:t>25</w:t>
      </w:r>
      <w:r w:rsidR="004D382E" w:rsidRPr="00645162">
        <w:rPr>
          <w:sz w:val="24"/>
          <w:szCs w:val="24"/>
        </w:rPr>
        <w:t>-</w:t>
      </w:r>
      <w:r w:rsidRPr="00645162">
        <w:rPr>
          <w:sz w:val="24"/>
          <w:szCs w:val="24"/>
        </w:rPr>
        <w:t>40</w:t>
      </w:r>
      <w:proofErr w:type="gramEnd"/>
      <w:r w:rsidRPr="00645162">
        <w:rPr>
          <w:sz w:val="24"/>
          <w:szCs w:val="24"/>
        </w:rPr>
        <w:t xml:space="preserve"> лет структура причин смещается в сторону занятости и служебных перемещений, совместно они в ряде возрастов дают более половины всех указанных причин миграции.</w:t>
      </w:r>
    </w:p>
    <w:p w14:paraId="08837E1F" w14:textId="2A9DC957" w:rsidR="007A1D89" w:rsidRPr="00645162" w:rsidRDefault="007A1D89" w:rsidP="00645162">
      <w:pPr>
        <w:spacing w:line="240" w:lineRule="auto"/>
        <w:ind w:firstLine="567"/>
        <w:rPr>
          <w:sz w:val="24"/>
          <w:szCs w:val="24"/>
        </w:rPr>
      </w:pPr>
      <w:r w:rsidRPr="00645162">
        <w:rPr>
          <w:sz w:val="24"/>
          <w:szCs w:val="24"/>
        </w:rPr>
        <w:t xml:space="preserve">​Распределение причин миграции по уровням образования среди мигрантов показывает различия мотивов в зависимости от человеческого капитала. Для категории </w:t>
      </w:r>
      <w:r w:rsidR="00476274" w:rsidRPr="00645162">
        <w:rPr>
          <w:sz w:val="24"/>
          <w:szCs w:val="24"/>
        </w:rPr>
        <w:t>необразованных</w:t>
      </w:r>
      <w:r w:rsidRPr="00645162">
        <w:rPr>
          <w:sz w:val="24"/>
          <w:szCs w:val="24"/>
        </w:rPr>
        <w:t xml:space="preserve"> и низких школьных уровней преобладают семейные и брачные мотивы, а также фиксируется заметная роль причин, связанных со здоровьем и переселением. Для средних школьных уровней увеличивается доля образовательной миграции, особенно в классах, соответствующих переходу к старшей школе. Среди обладателей дипломов и высшего образования возрастает роль занятости и служебных переводов: доля </w:t>
      </w:r>
      <w:r w:rsidR="00476274" w:rsidRPr="00645162">
        <w:rPr>
          <w:sz w:val="24"/>
          <w:szCs w:val="24"/>
        </w:rPr>
        <w:t xml:space="preserve">этих причин </w:t>
      </w:r>
      <w:r w:rsidRPr="00645162">
        <w:rPr>
          <w:sz w:val="24"/>
          <w:szCs w:val="24"/>
        </w:rPr>
        <w:t xml:space="preserve">для этих групп значительно превышает долю аналогичных причин у </w:t>
      </w:r>
      <w:proofErr w:type="spellStart"/>
      <w:r w:rsidRPr="00645162">
        <w:rPr>
          <w:sz w:val="24"/>
          <w:szCs w:val="24"/>
        </w:rPr>
        <w:t>низкообразованных</w:t>
      </w:r>
      <w:proofErr w:type="spellEnd"/>
      <w:r w:rsidRPr="00645162">
        <w:rPr>
          <w:sz w:val="24"/>
          <w:szCs w:val="24"/>
        </w:rPr>
        <w:t xml:space="preserve"> мигрантов.</w:t>
      </w:r>
      <w:r w:rsidR="007D139D" w:rsidRPr="00645162">
        <w:rPr>
          <w:sz w:val="24"/>
          <w:szCs w:val="24"/>
        </w:rPr>
        <w:t xml:space="preserve"> Отчасти причиной большой доли служебных переводов у некоторых категорий людей является подавляющая доля государственного сектора в занятости, которая регулярно практикует назначения людей в другие </w:t>
      </w:r>
      <w:r w:rsidR="00703F31" w:rsidRPr="00645162">
        <w:rPr>
          <w:sz w:val="24"/>
          <w:szCs w:val="24"/>
        </w:rPr>
        <w:t>регионы страны</w:t>
      </w:r>
      <w:r w:rsidR="00703F31" w:rsidRPr="00645162">
        <w:rPr>
          <w:rStyle w:val="a9"/>
          <w:sz w:val="24"/>
          <w:szCs w:val="24"/>
        </w:rPr>
        <w:footnoteReference w:id="4"/>
      </w:r>
      <w:r w:rsidR="00703F31" w:rsidRPr="00645162">
        <w:rPr>
          <w:sz w:val="24"/>
          <w:szCs w:val="24"/>
        </w:rPr>
        <w:t>.</w:t>
      </w:r>
    </w:p>
    <w:p w14:paraId="1C2B562A" w14:textId="02386A2F" w:rsidR="00BA2F40" w:rsidRPr="00645162" w:rsidRDefault="007A1D89" w:rsidP="00645162">
      <w:pPr>
        <w:pStyle w:val="2"/>
        <w:spacing w:line="240" w:lineRule="auto"/>
        <w:ind w:firstLine="567"/>
        <w:rPr>
          <w:sz w:val="24"/>
          <w:szCs w:val="24"/>
        </w:rPr>
      </w:pPr>
      <w:r w:rsidRPr="00645162">
        <w:rPr>
          <w:sz w:val="24"/>
          <w:szCs w:val="24"/>
        </w:rPr>
        <w:t>​</w:t>
      </w:r>
      <w:r w:rsidR="00BA2F40" w:rsidRPr="00645162">
        <w:rPr>
          <w:sz w:val="24"/>
          <w:szCs w:val="24"/>
        </w:rPr>
        <w:t>***</w:t>
      </w:r>
    </w:p>
    <w:p w14:paraId="39351246" w14:textId="6886D348" w:rsidR="00AD53F3" w:rsidRPr="00645162" w:rsidRDefault="007A1D89" w:rsidP="00645162">
      <w:pPr>
        <w:spacing w:line="240" w:lineRule="auto"/>
        <w:ind w:firstLine="567"/>
        <w:rPr>
          <w:sz w:val="24"/>
          <w:szCs w:val="24"/>
        </w:rPr>
      </w:pPr>
      <w:r w:rsidRPr="00645162">
        <w:rPr>
          <w:sz w:val="24"/>
          <w:szCs w:val="24"/>
        </w:rPr>
        <w:t xml:space="preserve">Таким образом, </w:t>
      </w:r>
      <w:proofErr w:type="spellStart"/>
      <w:r w:rsidRPr="00645162">
        <w:rPr>
          <w:sz w:val="24"/>
          <w:szCs w:val="24"/>
        </w:rPr>
        <w:t>микроэконометрический</w:t>
      </w:r>
      <w:proofErr w:type="spellEnd"/>
      <w:r w:rsidRPr="00645162">
        <w:rPr>
          <w:sz w:val="24"/>
          <w:szCs w:val="24"/>
        </w:rPr>
        <w:t xml:space="preserve"> анализ данных Переписи 2017 года показывает, что внутренняя миграция в Бутане систематически связана с возрастом, уровнем образования и мотивами переезда, причём мигранты в среднем старше, более образованны и чаще переезжают по причинам, связанным с образованием и занятостью.</w:t>
      </w:r>
    </w:p>
    <w:p w14:paraId="180BAE84" w14:textId="1B6C66CD" w:rsidR="00147ACD" w:rsidRPr="00645162" w:rsidRDefault="00147ACD" w:rsidP="00645162">
      <w:pPr>
        <w:pStyle w:val="2"/>
        <w:spacing w:line="240" w:lineRule="auto"/>
        <w:ind w:firstLine="567"/>
        <w:rPr>
          <w:sz w:val="24"/>
          <w:szCs w:val="24"/>
        </w:rPr>
      </w:pPr>
      <w:r w:rsidRPr="00645162">
        <w:rPr>
          <w:sz w:val="24"/>
          <w:szCs w:val="24"/>
        </w:rPr>
        <w:t>Литература</w:t>
      </w:r>
    </w:p>
    <w:p w14:paraId="31C5FA74" w14:textId="77777777" w:rsidR="00645162" w:rsidRPr="00645162" w:rsidRDefault="00645162" w:rsidP="00645162">
      <w:pPr>
        <w:pStyle w:val="af0"/>
        <w:numPr>
          <w:ilvl w:val="0"/>
          <w:numId w:val="1"/>
        </w:numPr>
        <w:spacing w:line="240" w:lineRule="auto"/>
        <w:ind w:left="0" w:firstLine="567"/>
        <w:contextualSpacing w:val="0"/>
        <w:rPr>
          <w:sz w:val="24"/>
          <w:szCs w:val="24"/>
          <w:lang w:val="en-US" w:eastAsia="en-US"/>
        </w:rPr>
      </w:pPr>
      <w:r w:rsidRPr="00645162">
        <w:rPr>
          <w:sz w:val="24"/>
          <w:szCs w:val="24"/>
          <w:lang w:val="en-US" w:eastAsia="en-US"/>
        </w:rPr>
        <w:t>Request Data – National Statistics Bureau [</w:t>
      </w:r>
      <w:r w:rsidRPr="00645162">
        <w:rPr>
          <w:sz w:val="24"/>
          <w:szCs w:val="24"/>
          <w:lang w:eastAsia="en-US"/>
        </w:rPr>
        <w:t>Электронный</w:t>
      </w:r>
      <w:r w:rsidRPr="00645162">
        <w:rPr>
          <w:sz w:val="24"/>
          <w:szCs w:val="24"/>
          <w:lang w:val="en-US" w:eastAsia="en-US"/>
        </w:rPr>
        <w:t xml:space="preserve"> </w:t>
      </w:r>
      <w:r w:rsidRPr="00645162">
        <w:rPr>
          <w:sz w:val="24"/>
          <w:szCs w:val="24"/>
          <w:lang w:eastAsia="en-US"/>
        </w:rPr>
        <w:t>ресурс</w:t>
      </w:r>
      <w:r w:rsidRPr="00645162">
        <w:rPr>
          <w:sz w:val="24"/>
          <w:szCs w:val="24"/>
          <w:lang w:val="en-US" w:eastAsia="en-US"/>
        </w:rPr>
        <w:t>]. – URL: https://www.nsb.gov.bt/services/statistical-data-request/ (</w:t>
      </w:r>
      <w:r w:rsidRPr="00645162">
        <w:rPr>
          <w:sz w:val="24"/>
          <w:szCs w:val="24"/>
          <w:lang w:eastAsia="en-US"/>
        </w:rPr>
        <w:t>дата</w:t>
      </w:r>
      <w:r w:rsidRPr="00645162">
        <w:rPr>
          <w:sz w:val="24"/>
          <w:szCs w:val="24"/>
          <w:lang w:val="en-US" w:eastAsia="en-US"/>
        </w:rPr>
        <w:t xml:space="preserve"> </w:t>
      </w:r>
      <w:r w:rsidRPr="00645162">
        <w:rPr>
          <w:sz w:val="24"/>
          <w:szCs w:val="24"/>
          <w:lang w:eastAsia="en-US"/>
        </w:rPr>
        <w:t>обращения</w:t>
      </w:r>
      <w:r w:rsidRPr="00645162">
        <w:rPr>
          <w:sz w:val="24"/>
          <w:szCs w:val="24"/>
          <w:lang w:val="en-US" w:eastAsia="en-US"/>
        </w:rPr>
        <w:t>: 09.03.2026).</w:t>
      </w:r>
    </w:p>
    <w:p w14:paraId="132611CE" w14:textId="547C799A" w:rsidR="00645162" w:rsidRPr="00645162" w:rsidRDefault="00645162" w:rsidP="00645162">
      <w:pPr>
        <w:pStyle w:val="af0"/>
        <w:numPr>
          <w:ilvl w:val="0"/>
          <w:numId w:val="1"/>
        </w:numPr>
        <w:spacing w:line="240" w:lineRule="auto"/>
        <w:ind w:left="0" w:firstLine="567"/>
        <w:contextualSpacing w:val="0"/>
        <w:rPr>
          <w:sz w:val="24"/>
          <w:szCs w:val="24"/>
          <w:lang w:val="en-US" w:eastAsia="en-US"/>
        </w:rPr>
      </w:pPr>
      <w:r w:rsidRPr="00645162">
        <w:rPr>
          <w:sz w:val="24"/>
          <w:szCs w:val="24"/>
          <w:lang w:val="en-US" w:eastAsia="en-US"/>
        </w:rPr>
        <w:t>Bhutan Human Capital and Skills Development for a Modern Economy: Project Appraisal Document. — Washington, DC: World Bank, 2022. – p. xi</w:t>
      </w:r>
    </w:p>
    <w:p w14:paraId="3685C143" w14:textId="69193DC0" w:rsidR="00645162" w:rsidRPr="00645162" w:rsidRDefault="00645162" w:rsidP="00645162">
      <w:pPr>
        <w:pStyle w:val="af0"/>
        <w:numPr>
          <w:ilvl w:val="0"/>
          <w:numId w:val="1"/>
        </w:numPr>
        <w:spacing w:line="240" w:lineRule="auto"/>
        <w:ind w:left="0" w:firstLine="567"/>
        <w:contextualSpacing w:val="0"/>
        <w:rPr>
          <w:sz w:val="24"/>
          <w:szCs w:val="24"/>
          <w:lang w:val="en-US" w:eastAsia="en-US"/>
        </w:rPr>
      </w:pPr>
      <w:r w:rsidRPr="00645162">
        <w:rPr>
          <w:sz w:val="24"/>
          <w:szCs w:val="24"/>
          <w:lang w:val="en-US" w:eastAsia="en-US"/>
        </w:rPr>
        <w:t>Rural-Urban Migration and Youth in Bhutan [</w:t>
      </w:r>
      <w:r w:rsidRPr="00645162">
        <w:rPr>
          <w:sz w:val="24"/>
          <w:szCs w:val="24"/>
          <w:lang w:eastAsia="en-US"/>
        </w:rPr>
        <w:t>Электронный</w:t>
      </w:r>
      <w:r w:rsidRPr="00645162">
        <w:rPr>
          <w:sz w:val="24"/>
          <w:szCs w:val="24"/>
          <w:lang w:val="en-US" w:eastAsia="en-US"/>
        </w:rPr>
        <w:t xml:space="preserve"> </w:t>
      </w:r>
      <w:r w:rsidRPr="00645162">
        <w:rPr>
          <w:sz w:val="24"/>
          <w:szCs w:val="24"/>
          <w:lang w:eastAsia="en-US"/>
        </w:rPr>
        <w:t>ресурс</w:t>
      </w:r>
      <w:r w:rsidRPr="00645162">
        <w:rPr>
          <w:sz w:val="24"/>
          <w:szCs w:val="24"/>
          <w:lang w:val="en-US" w:eastAsia="en-US"/>
        </w:rPr>
        <w:t xml:space="preserve">] // </w:t>
      </w:r>
      <w:proofErr w:type="spellStart"/>
      <w:r w:rsidRPr="00645162">
        <w:rPr>
          <w:sz w:val="24"/>
          <w:szCs w:val="24"/>
          <w:lang w:val="en-US" w:eastAsia="en-US"/>
        </w:rPr>
        <w:t>IvyPanda</w:t>
      </w:r>
      <w:proofErr w:type="spellEnd"/>
      <w:r w:rsidRPr="00645162">
        <w:rPr>
          <w:sz w:val="24"/>
          <w:szCs w:val="24"/>
          <w:lang w:val="en-US" w:eastAsia="en-US"/>
        </w:rPr>
        <w:t>. – URL: https://ivypanda.com/essays/rural-urban-migration-and-youth-in-bhutan/ (</w:t>
      </w:r>
      <w:r w:rsidRPr="00645162">
        <w:rPr>
          <w:sz w:val="24"/>
          <w:szCs w:val="24"/>
          <w:lang w:eastAsia="en-US"/>
        </w:rPr>
        <w:t>дата</w:t>
      </w:r>
      <w:r w:rsidRPr="00645162">
        <w:rPr>
          <w:sz w:val="24"/>
          <w:szCs w:val="24"/>
          <w:lang w:val="en-US" w:eastAsia="en-US"/>
        </w:rPr>
        <w:t xml:space="preserve"> </w:t>
      </w:r>
      <w:r w:rsidRPr="00645162">
        <w:rPr>
          <w:sz w:val="24"/>
          <w:szCs w:val="24"/>
          <w:lang w:eastAsia="en-US"/>
        </w:rPr>
        <w:t>обращения</w:t>
      </w:r>
      <w:r w:rsidRPr="00645162">
        <w:rPr>
          <w:sz w:val="24"/>
          <w:szCs w:val="24"/>
          <w:lang w:val="en-US" w:eastAsia="en-US"/>
        </w:rPr>
        <w:t>: 09.03.2026).</w:t>
      </w:r>
    </w:p>
    <w:p w14:paraId="18AD09A3" w14:textId="53455D49" w:rsidR="00147ACD" w:rsidRPr="00645162" w:rsidRDefault="00645162" w:rsidP="00645162">
      <w:pPr>
        <w:pStyle w:val="af0"/>
        <w:numPr>
          <w:ilvl w:val="0"/>
          <w:numId w:val="1"/>
        </w:numPr>
        <w:spacing w:line="240" w:lineRule="auto"/>
        <w:ind w:left="0" w:firstLine="567"/>
        <w:contextualSpacing w:val="0"/>
        <w:rPr>
          <w:sz w:val="24"/>
          <w:szCs w:val="24"/>
          <w:lang w:val="en-US" w:eastAsia="en-US"/>
        </w:rPr>
      </w:pPr>
      <w:r w:rsidRPr="00645162">
        <w:rPr>
          <w:sz w:val="24"/>
          <w:szCs w:val="24"/>
          <w:lang w:val="en-US" w:eastAsia="en-US"/>
        </w:rPr>
        <w:t xml:space="preserve">Policy Brief. Rural-Urban Migration and Urbanization in Bhutan. – Thimphu: National Statistics Bureau, 2018. </w:t>
      </w:r>
      <w:r w:rsidRPr="00645162">
        <w:rPr>
          <w:sz w:val="24"/>
          <w:szCs w:val="24"/>
          <w:lang w:val="en-US" w:eastAsia="en-US"/>
        </w:rPr>
        <w:t>–</w:t>
      </w:r>
      <w:r w:rsidRPr="00645162">
        <w:rPr>
          <w:sz w:val="24"/>
          <w:szCs w:val="24"/>
          <w:lang w:val="en-US" w:eastAsia="en-US"/>
        </w:rPr>
        <w:t xml:space="preserve"> p. 2</w:t>
      </w:r>
    </w:p>
    <w:sectPr w:rsidR="00147ACD" w:rsidRPr="00645162" w:rsidSect="007A1D89">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04D1" w14:textId="77777777" w:rsidR="005451CF" w:rsidRDefault="005451CF" w:rsidP="004D382E">
      <w:pPr>
        <w:spacing w:line="240" w:lineRule="auto"/>
      </w:pPr>
      <w:r>
        <w:separator/>
      </w:r>
    </w:p>
  </w:endnote>
  <w:endnote w:type="continuationSeparator" w:id="0">
    <w:p w14:paraId="71FD5FB3" w14:textId="77777777" w:rsidR="005451CF" w:rsidRDefault="005451CF" w:rsidP="004D3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81DB" w14:textId="77777777" w:rsidR="005451CF" w:rsidRDefault="005451CF" w:rsidP="004D382E">
      <w:pPr>
        <w:spacing w:line="240" w:lineRule="auto"/>
      </w:pPr>
      <w:r>
        <w:separator/>
      </w:r>
    </w:p>
  </w:footnote>
  <w:footnote w:type="continuationSeparator" w:id="0">
    <w:p w14:paraId="3ED6B78C" w14:textId="77777777" w:rsidR="005451CF" w:rsidRDefault="005451CF" w:rsidP="004D382E">
      <w:pPr>
        <w:spacing w:line="240" w:lineRule="auto"/>
      </w:pPr>
      <w:r>
        <w:continuationSeparator/>
      </w:r>
    </w:p>
  </w:footnote>
  <w:footnote w:id="1">
    <w:p w14:paraId="14AA0376" w14:textId="6495F707" w:rsidR="004D382E" w:rsidRPr="004D382E" w:rsidRDefault="004D382E" w:rsidP="00147ACD">
      <w:pPr>
        <w:pStyle w:val="a4"/>
        <w:rPr>
          <w:lang w:val="en-US"/>
        </w:rPr>
      </w:pPr>
      <w:r>
        <w:rPr>
          <w:rStyle w:val="a9"/>
        </w:rPr>
        <w:footnoteRef/>
      </w:r>
      <w:r w:rsidRPr="00147ACD">
        <w:rPr>
          <w:lang w:val="en-US"/>
        </w:rPr>
        <w:t xml:space="preserve"> </w:t>
      </w:r>
      <w:r w:rsidR="00147ACD" w:rsidRPr="00147ACD">
        <w:rPr>
          <w:lang w:val="en-US"/>
        </w:rPr>
        <w:t xml:space="preserve">Request Data </w:t>
      </w:r>
      <w:r w:rsidR="00147ACD" w:rsidRPr="00147ACD">
        <w:rPr>
          <w:lang w:val="en-US"/>
        </w:rPr>
        <w:t>–</w:t>
      </w:r>
      <w:r w:rsidR="00147ACD" w:rsidRPr="00147ACD">
        <w:rPr>
          <w:lang w:val="en-US"/>
        </w:rPr>
        <w:t xml:space="preserve"> National Statistics Bureau [</w:t>
      </w:r>
      <w:r w:rsidR="00147ACD">
        <w:t>Электронный</w:t>
      </w:r>
      <w:r w:rsidR="00147ACD" w:rsidRPr="00147ACD">
        <w:rPr>
          <w:lang w:val="en-US"/>
        </w:rPr>
        <w:t xml:space="preserve"> </w:t>
      </w:r>
      <w:r w:rsidR="00147ACD">
        <w:t>ресурс</w:t>
      </w:r>
      <w:r w:rsidR="00147ACD" w:rsidRPr="00147ACD">
        <w:rPr>
          <w:lang w:val="en-US"/>
        </w:rPr>
        <w:t xml:space="preserve">]. </w:t>
      </w:r>
      <w:r w:rsidR="00147ACD">
        <w:rPr>
          <w:lang w:val="en-US"/>
        </w:rPr>
        <w:t>– URL</w:t>
      </w:r>
      <w:r w:rsidR="00147ACD" w:rsidRPr="00147ACD">
        <w:rPr>
          <w:lang w:val="en-US"/>
        </w:rPr>
        <w:t>:</w:t>
      </w:r>
      <w:r w:rsidR="00147ACD" w:rsidRPr="00147ACD">
        <w:rPr>
          <w:lang w:val="en-US"/>
        </w:rPr>
        <w:t xml:space="preserve"> </w:t>
      </w:r>
      <w:r w:rsidR="00147ACD" w:rsidRPr="00147ACD">
        <w:rPr>
          <w:lang w:val="en-US"/>
        </w:rPr>
        <w:t>https://www.nsb.gov.bt/services/statistical-data-request/ (</w:t>
      </w:r>
      <w:r w:rsidR="00147ACD">
        <w:t>дата</w:t>
      </w:r>
      <w:r w:rsidR="00147ACD" w:rsidRPr="00147ACD">
        <w:rPr>
          <w:lang w:val="en-US"/>
        </w:rPr>
        <w:t xml:space="preserve"> </w:t>
      </w:r>
      <w:r w:rsidR="00147ACD">
        <w:t>обращения</w:t>
      </w:r>
      <w:r w:rsidR="00147ACD" w:rsidRPr="00147ACD">
        <w:rPr>
          <w:lang w:val="en-US"/>
        </w:rPr>
        <w:t>: 09.03.2026).</w:t>
      </w:r>
    </w:p>
  </w:footnote>
  <w:footnote w:id="2">
    <w:p w14:paraId="580DB8E8" w14:textId="72794903" w:rsidR="00147ACD" w:rsidRPr="00147ACD" w:rsidRDefault="00147ACD">
      <w:pPr>
        <w:pStyle w:val="a4"/>
        <w:rPr>
          <w:lang w:val="en-US"/>
        </w:rPr>
      </w:pPr>
      <w:r>
        <w:rPr>
          <w:rStyle w:val="a9"/>
        </w:rPr>
        <w:footnoteRef/>
      </w:r>
      <w:r w:rsidRPr="00147ACD">
        <w:rPr>
          <w:lang w:val="en-US"/>
        </w:rPr>
        <w:t xml:space="preserve"> </w:t>
      </w:r>
      <w:r w:rsidRPr="00147ACD">
        <w:rPr>
          <w:lang w:val="en-US"/>
        </w:rPr>
        <w:t xml:space="preserve">Bhutan Human Capital and Skills Development for a Modern Economy: Project Appraisal Document. — Washington, DC: World Bank, 2022. </w:t>
      </w:r>
      <w:r w:rsidRPr="00147ACD">
        <w:rPr>
          <w:lang w:val="en-US"/>
        </w:rPr>
        <w:t xml:space="preserve">– </w:t>
      </w:r>
      <w:r>
        <w:rPr>
          <w:lang w:val="en-US"/>
        </w:rPr>
        <w:t>p.</w:t>
      </w:r>
      <w:r w:rsidRPr="00147ACD">
        <w:rPr>
          <w:lang w:val="en-US"/>
        </w:rPr>
        <w:t xml:space="preserve"> xi</w:t>
      </w:r>
    </w:p>
  </w:footnote>
  <w:footnote w:id="3">
    <w:p w14:paraId="44275760" w14:textId="0E79955A" w:rsidR="007D139D" w:rsidRPr="00147ACD" w:rsidRDefault="007D139D">
      <w:pPr>
        <w:pStyle w:val="a4"/>
        <w:rPr>
          <w:lang w:val="en-US"/>
        </w:rPr>
      </w:pPr>
      <w:r>
        <w:rPr>
          <w:rStyle w:val="a9"/>
        </w:rPr>
        <w:footnoteRef/>
      </w:r>
      <w:r w:rsidRPr="00147ACD">
        <w:rPr>
          <w:lang w:val="en-US"/>
        </w:rPr>
        <w:t xml:space="preserve"> </w:t>
      </w:r>
      <w:r w:rsidR="00147ACD" w:rsidRPr="00147ACD">
        <w:rPr>
          <w:lang w:val="en-US"/>
        </w:rPr>
        <w:t>Rural-Urban Migration and Youth in Bhutan [</w:t>
      </w:r>
      <w:proofErr w:type="spellStart"/>
      <w:r w:rsidR="00147ACD" w:rsidRPr="00147ACD">
        <w:rPr>
          <w:lang w:val="en-US"/>
        </w:rPr>
        <w:t>Электронный</w:t>
      </w:r>
      <w:proofErr w:type="spellEnd"/>
      <w:r w:rsidR="00147ACD" w:rsidRPr="00147ACD">
        <w:rPr>
          <w:lang w:val="en-US"/>
        </w:rPr>
        <w:t xml:space="preserve"> </w:t>
      </w:r>
      <w:proofErr w:type="spellStart"/>
      <w:r w:rsidR="00147ACD" w:rsidRPr="00147ACD">
        <w:rPr>
          <w:lang w:val="en-US"/>
        </w:rPr>
        <w:t>ресурс</w:t>
      </w:r>
      <w:proofErr w:type="spellEnd"/>
      <w:r w:rsidR="00147ACD" w:rsidRPr="00147ACD">
        <w:rPr>
          <w:lang w:val="en-US"/>
        </w:rPr>
        <w:t xml:space="preserve">] // </w:t>
      </w:r>
      <w:proofErr w:type="spellStart"/>
      <w:r w:rsidR="00147ACD" w:rsidRPr="00147ACD">
        <w:rPr>
          <w:lang w:val="en-US"/>
        </w:rPr>
        <w:t>IvyPanda</w:t>
      </w:r>
      <w:proofErr w:type="spellEnd"/>
      <w:r w:rsidR="00147ACD" w:rsidRPr="00147ACD">
        <w:rPr>
          <w:lang w:val="en-US"/>
        </w:rPr>
        <w:t xml:space="preserve">. </w:t>
      </w:r>
      <w:r w:rsidR="00147ACD" w:rsidRPr="00147ACD">
        <w:rPr>
          <w:lang w:val="en-US"/>
        </w:rPr>
        <w:t xml:space="preserve">– </w:t>
      </w:r>
      <w:r w:rsidR="00147ACD">
        <w:rPr>
          <w:lang w:val="en-US"/>
        </w:rPr>
        <w:t>URL</w:t>
      </w:r>
      <w:r w:rsidR="00147ACD" w:rsidRPr="00147ACD">
        <w:rPr>
          <w:lang w:val="en-US"/>
        </w:rPr>
        <w:t>: https://ivypanda.com/essays/rural-urban-migration-and-youth-in-bhutan/ (</w:t>
      </w:r>
      <w:proofErr w:type="spellStart"/>
      <w:r w:rsidR="00147ACD" w:rsidRPr="00147ACD">
        <w:rPr>
          <w:lang w:val="en-US"/>
        </w:rPr>
        <w:t>дата</w:t>
      </w:r>
      <w:proofErr w:type="spellEnd"/>
      <w:r w:rsidR="00147ACD" w:rsidRPr="00147ACD">
        <w:rPr>
          <w:lang w:val="en-US"/>
        </w:rPr>
        <w:t xml:space="preserve"> </w:t>
      </w:r>
      <w:proofErr w:type="spellStart"/>
      <w:r w:rsidR="00147ACD" w:rsidRPr="00147ACD">
        <w:rPr>
          <w:lang w:val="en-US"/>
        </w:rPr>
        <w:t>обращения</w:t>
      </w:r>
      <w:proofErr w:type="spellEnd"/>
      <w:r w:rsidR="00147ACD" w:rsidRPr="00147ACD">
        <w:rPr>
          <w:lang w:val="en-US"/>
        </w:rPr>
        <w:t>: 09.03.2026).</w:t>
      </w:r>
    </w:p>
  </w:footnote>
  <w:footnote w:id="4">
    <w:p w14:paraId="0241C7DB" w14:textId="094D732E" w:rsidR="00703F31" w:rsidRPr="00645162" w:rsidRDefault="00703F31">
      <w:pPr>
        <w:pStyle w:val="a4"/>
        <w:rPr>
          <w:lang w:val="en-US"/>
        </w:rPr>
      </w:pPr>
      <w:r>
        <w:rPr>
          <w:rStyle w:val="a9"/>
        </w:rPr>
        <w:footnoteRef/>
      </w:r>
      <w:r w:rsidRPr="00645162">
        <w:rPr>
          <w:lang w:val="en-US"/>
        </w:rPr>
        <w:t xml:space="preserve"> </w:t>
      </w:r>
      <w:r w:rsidR="00645162">
        <w:rPr>
          <w:lang w:val="en-US"/>
        </w:rPr>
        <w:t xml:space="preserve">Policy Brief. Rural-Urban Migration and Urbanization in Bhutan. – </w:t>
      </w:r>
      <w:r w:rsidR="00645162" w:rsidRPr="00645162">
        <w:rPr>
          <w:lang w:val="en-US"/>
        </w:rPr>
        <w:t>Thimphu: National Statistics Bureau</w:t>
      </w:r>
      <w:r w:rsidR="00645162" w:rsidRPr="00645162">
        <w:rPr>
          <w:lang w:val="en-US"/>
        </w:rPr>
        <w:t xml:space="preserve">, 2018. – </w:t>
      </w:r>
      <w:r w:rsidR="00645162">
        <w:rPr>
          <w:lang w:val="en-US"/>
        </w:rPr>
        <w:t>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4A76"/>
    <w:multiLevelType w:val="hybridMultilevel"/>
    <w:tmpl w:val="8BEC7F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9250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C"/>
    <w:rsid w:val="000507BA"/>
    <w:rsid w:val="000A6EAC"/>
    <w:rsid w:val="0011767A"/>
    <w:rsid w:val="00147ACD"/>
    <w:rsid w:val="00151B54"/>
    <w:rsid w:val="0019724D"/>
    <w:rsid w:val="003162C5"/>
    <w:rsid w:val="00347A71"/>
    <w:rsid w:val="003B312E"/>
    <w:rsid w:val="003F7FA4"/>
    <w:rsid w:val="00476274"/>
    <w:rsid w:val="004D382E"/>
    <w:rsid w:val="004E2E99"/>
    <w:rsid w:val="004E670B"/>
    <w:rsid w:val="005451CF"/>
    <w:rsid w:val="005F7950"/>
    <w:rsid w:val="00613AA5"/>
    <w:rsid w:val="00645162"/>
    <w:rsid w:val="006B61BA"/>
    <w:rsid w:val="006F65D7"/>
    <w:rsid w:val="00702415"/>
    <w:rsid w:val="00703F31"/>
    <w:rsid w:val="00710BC4"/>
    <w:rsid w:val="00732CB7"/>
    <w:rsid w:val="007A1D89"/>
    <w:rsid w:val="007D139D"/>
    <w:rsid w:val="00883ABA"/>
    <w:rsid w:val="008E4970"/>
    <w:rsid w:val="00931FA8"/>
    <w:rsid w:val="009A42B6"/>
    <w:rsid w:val="00AD53F3"/>
    <w:rsid w:val="00B34F31"/>
    <w:rsid w:val="00B35257"/>
    <w:rsid w:val="00BA2F40"/>
    <w:rsid w:val="00BB1E05"/>
    <w:rsid w:val="00C061BB"/>
    <w:rsid w:val="00CB6AB7"/>
    <w:rsid w:val="00D43AF8"/>
    <w:rsid w:val="00D649B0"/>
    <w:rsid w:val="00DB2535"/>
    <w:rsid w:val="00E53277"/>
    <w:rsid w:val="00E63C4B"/>
    <w:rsid w:val="00F855DC"/>
    <w:rsid w:val="00FA5BC1"/>
    <w:rsid w:val="00FB0C73"/>
    <w:rsid w:val="00FD54E5"/>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6FE7"/>
  <w15:chartTrackingRefBased/>
  <w15:docId w15:val="{97E4F732-B747-4F9C-A053-B8A39787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4"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BA"/>
    <w:pPr>
      <w:spacing w:line="360" w:lineRule="auto"/>
    </w:pPr>
    <w:rPr>
      <w:rFonts w:ascii="Times New Roman" w:hAnsi="Times New Roman" w:cs="Times New Roman"/>
      <w:kern w:val="0"/>
      <w:sz w:val="28"/>
      <w:szCs w:val="20"/>
      <w:lang w:eastAsia="ru-RU"/>
      <w14:ligatures w14:val="none"/>
    </w:rPr>
  </w:style>
  <w:style w:type="paragraph" w:styleId="1">
    <w:name w:val="heading 1"/>
    <w:basedOn w:val="a"/>
    <w:next w:val="a"/>
    <w:link w:val="10"/>
    <w:autoRedefine/>
    <w:uiPriority w:val="3"/>
    <w:qFormat/>
    <w:rsid w:val="00645162"/>
    <w:pPr>
      <w:keepNext/>
      <w:keepLines/>
      <w:spacing w:line="240" w:lineRule="auto"/>
      <w:ind w:firstLine="0"/>
      <w:jc w:val="center"/>
      <w:outlineLvl w:val="0"/>
    </w:pPr>
    <w:rPr>
      <w:rFonts w:eastAsiaTheme="majorEastAsia" w:cstheme="majorBidi"/>
      <w:b/>
      <w:i/>
      <w:iCs/>
      <w:kern w:val="2"/>
      <w:sz w:val="24"/>
      <w:szCs w:val="24"/>
      <w:lang w:eastAsia="en-US"/>
      <w14:ligatures w14:val="standardContextual"/>
    </w:rPr>
  </w:style>
  <w:style w:type="paragraph" w:styleId="2">
    <w:name w:val="heading 2"/>
    <w:basedOn w:val="a"/>
    <w:next w:val="a"/>
    <w:link w:val="20"/>
    <w:autoRedefine/>
    <w:uiPriority w:val="3"/>
    <w:unhideWhenUsed/>
    <w:qFormat/>
    <w:rsid w:val="00883ABA"/>
    <w:pPr>
      <w:keepNext/>
      <w:keepLines/>
      <w:jc w:val="center"/>
      <w:outlineLvl w:val="1"/>
    </w:pPr>
    <w:rPr>
      <w:rFonts w:eastAsiaTheme="majorEastAsia" w:cstheme="majorBidi"/>
      <w:b/>
      <w:kern w:val="2"/>
      <w:szCs w:val="29"/>
      <w:lang w:eastAsia="en-US"/>
      <w14:ligatures w14:val="standardContextual"/>
    </w:rPr>
  </w:style>
  <w:style w:type="paragraph" w:styleId="3">
    <w:name w:val="heading 3"/>
    <w:basedOn w:val="a"/>
    <w:next w:val="a"/>
    <w:link w:val="30"/>
    <w:autoRedefine/>
    <w:uiPriority w:val="9"/>
    <w:unhideWhenUsed/>
    <w:qFormat/>
    <w:rsid w:val="003162C5"/>
    <w:pPr>
      <w:keepNext/>
      <w:keepLines/>
      <w:outlineLvl w:val="2"/>
    </w:pPr>
    <w:rPr>
      <w:rFonts w:asciiTheme="majorBidi" w:eastAsiaTheme="majorEastAsia" w:hAnsiTheme="majorBidi" w:cstheme="majorBidi"/>
      <w:b/>
      <w:i/>
      <w:color w:val="000000" w:themeColor="text1"/>
      <w:kern w:val="2"/>
      <w:szCs w:val="25"/>
      <w:lang w:eastAsia="en-US"/>
      <w14:ligatures w14:val="standardContextual"/>
    </w:rPr>
  </w:style>
  <w:style w:type="paragraph" w:styleId="4">
    <w:name w:val="heading 4"/>
    <w:basedOn w:val="a"/>
    <w:next w:val="a"/>
    <w:link w:val="40"/>
    <w:uiPriority w:val="9"/>
    <w:semiHidden/>
    <w:unhideWhenUsed/>
    <w:qFormat/>
    <w:rsid w:val="00883A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883AB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883AB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83AB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83AB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83AB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3"/>
    <w:rsid w:val="00645162"/>
    <w:rPr>
      <w:rFonts w:ascii="Times New Roman" w:eastAsiaTheme="majorEastAsia" w:hAnsi="Times New Roman" w:cstheme="majorBidi"/>
      <w:b/>
      <w:i/>
      <w:iCs/>
      <w:sz w:val="24"/>
      <w:szCs w:val="24"/>
    </w:rPr>
  </w:style>
  <w:style w:type="character" w:customStyle="1" w:styleId="20">
    <w:name w:val="Заголовок 2 Знак"/>
    <w:basedOn w:val="a0"/>
    <w:link w:val="2"/>
    <w:uiPriority w:val="3"/>
    <w:rsid w:val="00883ABA"/>
    <w:rPr>
      <w:rFonts w:ascii="Times New Roman" w:eastAsiaTheme="majorEastAsia" w:hAnsi="Times New Roman" w:cstheme="majorBidi"/>
      <w:b/>
      <w:sz w:val="28"/>
      <w:szCs w:val="29"/>
    </w:rPr>
  </w:style>
  <w:style w:type="character" w:customStyle="1" w:styleId="30">
    <w:name w:val="Заголовок 3 Знак"/>
    <w:basedOn w:val="a0"/>
    <w:link w:val="3"/>
    <w:uiPriority w:val="9"/>
    <w:rsid w:val="003162C5"/>
    <w:rPr>
      <w:rFonts w:asciiTheme="majorBidi" w:eastAsiaTheme="majorEastAsia" w:hAnsiTheme="majorBidi" w:cstheme="majorBidi"/>
      <w:b/>
      <w:i/>
      <w:color w:val="000000" w:themeColor="text1"/>
      <w:sz w:val="28"/>
      <w:szCs w:val="25"/>
    </w:rPr>
  </w:style>
  <w:style w:type="paragraph" w:customStyle="1" w:styleId="a3">
    <w:name w:val="Сноски"/>
    <w:basedOn w:val="a4"/>
    <w:link w:val="a5"/>
    <w:autoRedefine/>
    <w:uiPriority w:val="2"/>
    <w:qFormat/>
    <w:rsid w:val="00E63C4B"/>
    <w:pPr>
      <w:spacing w:line="240" w:lineRule="auto"/>
      <w:ind w:firstLine="0"/>
    </w:pPr>
    <w:rPr>
      <w:lang w:val="en-US"/>
    </w:rPr>
  </w:style>
  <w:style w:type="character" w:customStyle="1" w:styleId="a5">
    <w:name w:val="Сноски Знак"/>
    <w:basedOn w:val="a6"/>
    <w:link w:val="a3"/>
    <w:uiPriority w:val="2"/>
    <w:rsid w:val="00E63C4B"/>
    <w:rPr>
      <w:rFonts w:ascii="Times New Roman" w:hAnsi="Times New Roman" w:cs="Times New Roman"/>
      <w:kern w:val="0"/>
      <w:sz w:val="20"/>
      <w:szCs w:val="20"/>
      <w:lang w:val="en-US" w:eastAsia="ru-RU"/>
      <w14:ligatures w14:val="none"/>
    </w:rPr>
  </w:style>
  <w:style w:type="paragraph" w:styleId="a4">
    <w:name w:val="footnote text"/>
    <w:basedOn w:val="a"/>
    <w:link w:val="a6"/>
    <w:uiPriority w:val="99"/>
    <w:semiHidden/>
    <w:unhideWhenUsed/>
    <w:rsid w:val="00883ABA"/>
    <w:rPr>
      <w:sz w:val="20"/>
    </w:rPr>
  </w:style>
  <w:style w:type="character" w:customStyle="1" w:styleId="a6">
    <w:name w:val="Текст сноски Знак"/>
    <w:basedOn w:val="a0"/>
    <w:link w:val="a4"/>
    <w:uiPriority w:val="99"/>
    <w:semiHidden/>
    <w:rsid w:val="00883ABA"/>
    <w:rPr>
      <w:rFonts w:ascii="Times New Roman" w:hAnsi="Times New Roman" w:cs="Times New Roman"/>
      <w:kern w:val="0"/>
      <w:sz w:val="20"/>
      <w:szCs w:val="20"/>
      <w:lang w:eastAsia="ru-RU"/>
      <w14:ligatures w14:val="none"/>
    </w:rPr>
  </w:style>
  <w:style w:type="paragraph" w:customStyle="1" w:styleId="a7">
    <w:name w:val="Названия таблиц и рисунков"/>
    <w:basedOn w:val="a"/>
    <w:link w:val="a8"/>
    <w:autoRedefine/>
    <w:uiPriority w:val="1"/>
    <w:qFormat/>
    <w:rsid w:val="00883ABA"/>
    <w:pPr>
      <w:ind w:firstLine="0"/>
      <w:jc w:val="center"/>
    </w:pPr>
    <w:rPr>
      <w:i/>
    </w:rPr>
  </w:style>
  <w:style w:type="character" w:customStyle="1" w:styleId="a8">
    <w:name w:val="Названия таблиц и рисунков Знак"/>
    <w:basedOn w:val="a0"/>
    <w:link w:val="a7"/>
    <w:uiPriority w:val="1"/>
    <w:rsid w:val="00883ABA"/>
    <w:rPr>
      <w:rFonts w:ascii="Times New Roman" w:hAnsi="Times New Roman" w:cs="Times New Roman"/>
      <w:i/>
      <w:kern w:val="0"/>
      <w:sz w:val="28"/>
      <w:szCs w:val="20"/>
      <w:lang w:eastAsia="ru-RU"/>
      <w14:ligatures w14:val="none"/>
    </w:rPr>
  </w:style>
  <w:style w:type="character" w:customStyle="1" w:styleId="40">
    <w:name w:val="Заголовок 4 Знак"/>
    <w:basedOn w:val="a0"/>
    <w:link w:val="4"/>
    <w:uiPriority w:val="9"/>
    <w:semiHidden/>
    <w:rsid w:val="00883ABA"/>
    <w:rPr>
      <w:rFonts w:eastAsiaTheme="majorEastAsia" w:cstheme="majorBidi"/>
      <w:i/>
      <w:iCs/>
      <w:color w:val="0F4761" w:themeColor="accent1" w:themeShade="BF"/>
      <w:kern w:val="0"/>
      <w:sz w:val="28"/>
      <w:szCs w:val="20"/>
      <w:lang w:eastAsia="ru-RU"/>
      <w14:ligatures w14:val="none"/>
    </w:rPr>
  </w:style>
  <w:style w:type="character" w:customStyle="1" w:styleId="50">
    <w:name w:val="Заголовок 5 Знак"/>
    <w:basedOn w:val="a0"/>
    <w:link w:val="5"/>
    <w:uiPriority w:val="9"/>
    <w:semiHidden/>
    <w:rsid w:val="00883ABA"/>
    <w:rPr>
      <w:rFonts w:eastAsiaTheme="majorEastAsia" w:cstheme="majorBidi"/>
      <w:color w:val="0F4761" w:themeColor="accent1" w:themeShade="BF"/>
      <w:kern w:val="0"/>
      <w:sz w:val="28"/>
      <w:szCs w:val="20"/>
      <w:lang w:eastAsia="ru-RU"/>
      <w14:ligatures w14:val="none"/>
    </w:rPr>
  </w:style>
  <w:style w:type="character" w:customStyle="1" w:styleId="60">
    <w:name w:val="Заголовок 6 Знак"/>
    <w:basedOn w:val="a0"/>
    <w:link w:val="6"/>
    <w:uiPriority w:val="9"/>
    <w:semiHidden/>
    <w:rsid w:val="00883ABA"/>
    <w:rPr>
      <w:rFonts w:eastAsiaTheme="majorEastAsia" w:cstheme="majorBidi"/>
      <w:i/>
      <w:iCs/>
      <w:color w:val="595959" w:themeColor="text1" w:themeTint="A6"/>
      <w:kern w:val="0"/>
      <w:sz w:val="28"/>
      <w:szCs w:val="20"/>
      <w:lang w:eastAsia="ru-RU"/>
      <w14:ligatures w14:val="none"/>
    </w:rPr>
  </w:style>
  <w:style w:type="character" w:customStyle="1" w:styleId="70">
    <w:name w:val="Заголовок 7 Знак"/>
    <w:basedOn w:val="a0"/>
    <w:link w:val="7"/>
    <w:uiPriority w:val="9"/>
    <w:semiHidden/>
    <w:rsid w:val="00883ABA"/>
    <w:rPr>
      <w:rFonts w:eastAsiaTheme="majorEastAsia" w:cstheme="majorBidi"/>
      <w:color w:val="595959" w:themeColor="text1" w:themeTint="A6"/>
      <w:kern w:val="0"/>
      <w:sz w:val="28"/>
      <w:szCs w:val="20"/>
      <w:lang w:eastAsia="ru-RU"/>
      <w14:ligatures w14:val="none"/>
    </w:rPr>
  </w:style>
  <w:style w:type="character" w:customStyle="1" w:styleId="80">
    <w:name w:val="Заголовок 8 Знак"/>
    <w:basedOn w:val="a0"/>
    <w:link w:val="8"/>
    <w:uiPriority w:val="9"/>
    <w:semiHidden/>
    <w:rsid w:val="00883ABA"/>
    <w:rPr>
      <w:rFonts w:eastAsiaTheme="majorEastAsia" w:cstheme="majorBidi"/>
      <w:i/>
      <w:iCs/>
      <w:color w:val="272727" w:themeColor="text1" w:themeTint="D8"/>
      <w:kern w:val="0"/>
      <w:sz w:val="28"/>
      <w:szCs w:val="20"/>
      <w:lang w:eastAsia="ru-RU"/>
      <w14:ligatures w14:val="none"/>
    </w:rPr>
  </w:style>
  <w:style w:type="character" w:customStyle="1" w:styleId="90">
    <w:name w:val="Заголовок 9 Знак"/>
    <w:basedOn w:val="a0"/>
    <w:link w:val="9"/>
    <w:uiPriority w:val="9"/>
    <w:semiHidden/>
    <w:rsid w:val="00883ABA"/>
    <w:rPr>
      <w:rFonts w:eastAsiaTheme="majorEastAsia" w:cstheme="majorBidi"/>
      <w:color w:val="272727" w:themeColor="text1" w:themeTint="D8"/>
      <w:kern w:val="0"/>
      <w:sz w:val="28"/>
      <w:szCs w:val="20"/>
      <w:lang w:eastAsia="ru-RU"/>
      <w14:ligatures w14:val="none"/>
    </w:rPr>
  </w:style>
  <w:style w:type="character" w:styleId="a9">
    <w:name w:val="footnote reference"/>
    <w:basedOn w:val="a0"/>
    <w:uiPriority w:val="99"/>
    <w:semiHidden/>
    <w:unhideWhenUsed/>
    <w:rsid w:val="00883ABA"/>
    <w:rPr>
      <w:vertAlign w:val="superscript"/>
    </w:rPr>
  </w:style>
  <w:style w:type="paragraph" w:styleId="aa">
    <w:name w:val="Title"/>
    <w:basedOn w:val="a"/>
    <w:next w:val="a"/>
    <w:link w:val="ab"/>
    <w:uiPriority w:val="10"/>
    <w:unhideWhenUsed/>
    <w:qFormat/>
    <w:rsid w:val="00883ABA"/>
    <w:pPr>
      <w:spacing w:after="80"/>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883ABA"/>
    <w:rPr>
      <w:rFonts w:asciiTheme="majorHAnsi" w:eastAsiaTheme="majorEastAsia" w:hAnsiTheme="majorHAnsi" w:cstheme="majorBidi"/>
      <w:spacing w:val="-10"/>
      <w:kern w:val="28"/>
      <w:sz w:val="56"/>
      <w:szCs w:val="56"/>
      <w:lang w:eastAsia="ru-RU"/>
      <w14:ligatures w14:val="none"/>
    </w:rPr>
  </w:style>
  <w:style w:type="paragraph" w:styleId="ac">
    <w:name w:val="Subtitle"/>
    <w:basedOn w:val="a"/>
    <w:next w:val="a"/>
    <w:link w:val="ad"/>
    <w:uiPriority w:val="11"/>
    <w:unhideWhenUsed/>
    <w:qFormat/>
    <w:rsid w:val="00883AB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d">
    <w:name w:val="Подзаголовок Знак"/>
    <w:basedOn w:val="a0"/>
    <w:link w:val="ac"/>
    <w:uiPriority w:val="11"/>
    <w:rsid w:val="00883ABA"/>
    <w:rPr>
      <w:rFonts w:eastAsiaTheme="majorEastAsia" w:cstheme="majorBidi"/>
      <w:color w:val="595959" w:themeColor="text1" w:themeTint="A6"/>
      <w:spacing w:val="15"/>
      <w:kern w:val="0"/>
      <w:sz w:val="28"/>
      <w:szCs w:val="28"/>
      <w:lang w:eastAsia="ru-RU"/>
      <w14:ligatures w14:val="none"/>
    </w:rPr>
  </w:style>
  <w:style w:type="character" w:styleId="ae">
    <w:name w:val="Hyperlink"/>
    <w:basedOn w:val="a0"/>
    <w:uiPriority w:val="99"/>
    <w:unhideWhenUsed/>
    <w:rsid w:val="00883ABA"/>
    <w:rPr>
      <w:color w:val="467886" w:themeColor="hyperlink"/>
      <w:u w:val="single"/>
    </w:rPr>
  </w:style>
  <w:style w:type="table" w:styleId="af">
    <w:name w:val="Table Grid"/>
    <w:basedOn w:val="a1"/>
    <w:uiPriority w:val="39"/>
    <w:rsid w:val="00883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unhideWhenUsed/>
    <w:qFormat/>
    <w:rsid w:val="00883ABA"/>
    <w:pPr>
      <w:ind w:left="720"/>
      <w:contextualSpacing/>
    </w:pPr>
  </w:style>
  <w:style w:type="paragraph" w:styleId="21">
    <w:name w:val="Quote"/>
    <w:basedOn w:val="a"/>
    <w:next w:val="a"/>
    <w:link w:val="22"/>
    <w:uiPriority w:val="29"/>
    <w:unhideWhenUsed/>
    <w:qFormat/>
    <w:rsid w:val="00883ABA"/>
    <w:pPr>
      <w:spacing w:before="160" w:after="160"/>
      <w:jc w:val="center"/>
    </w:pPr>
    <w:rPr>
      <w:i/>
      <w:iCs/>
      <w:color w:val="404040" w:themeColor="text1" w:themeTint="BF"/>
    </w:rPr>
  </w:style>
  <w:style w:type="character" w:customStyle="1" w:styleId="22">
    <w:name w:val="Цитата 2 Знак"/>
    <w:basedOn w:val="a0"/>
    <w:link w:val="21"/>
    <w:uiPriority w:val="29"/>
    <w:rsid w:val="00883ABA"/>
    <w:rPr>
      <w:rFonts w:ascii="Times New Roman" w:hAnsi="Times New Roman" w:cs="Times New Roman"/>
      <w:i/>
      <w:iCs/>
      <w:color w:val="404040" w:themeColor="text1" w:themeTint="BF"/>
      <w:kern w:val="0"/>
      <w:sz w:val="28"/>
      <w:szCs w:val="20"/>
      <w:lang w:eastAsia="ru-RU"/>
      <w14:ligatures w14:val="none"/>
    </w:rPr>
  </w:style>
  <w:style w:type="paragraph" w:styleId="af1">
    <w:name w:val="Intense Quote"/>
    <w:basedOn w:val="a"/>
    <w:next w:val="a"/>
    <w:link w:val="af2"/>
    <w:uiPriority w:val="30"/>
    <w:unhideWhenUsed/>
    <w:qFormat/>
    <w:rsid w:val="00883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Выделенная цитата Знак"/>
    <w:basedOn w:val="a0"/>
    <w:link w:val="af1"/>
    <w:uiPriority w:val="30"/>
    <w:rsid w:val="00883ABA"/>
    <w:rPr>
      <w:rFonts w:ascii="Times New Roman" w:hAnsi="Times New Roman" w:cs="Times New Roman"/>
      <w:i/>
      <w:iCs/>
      <w:color w:val="0F4761" w:themeColor="accent1" w:themeShade="BF"/>
      <w:kern w:val="0"/>
      <w:sz w:val="28"/>
      <w:szCs w:val="20"/>
      <w:lang w:eastAsia="ru-RU"/>
      <w14:ligatures w14:val="none"/>
    </w:rPr>
  </w:style>
  <w:style w:type="character" w:styleId="af3">
    <w:name w:val="Intense Emphasis"/>
    <w:basedOn w:val="a0"/>
    <w:uiPriority w:val="21"/>
    <w:unhideWhenUsed/>
    <w:qFormat/>
    <w:rsid w:val="00883ABA"/>
    <w:rPr>
      <w:i/>
      <w:iCs/>
      <w:color w:val="0F4761" w:themeColor="accent1" w:themeShade="BF"/>
    </w:rPr>
  </w:style>
  <w:style w:type="character" w:styleId="af4">
    <w:name w:val="Intense Reference"/>
    <w:basedOn w:val="a0"/>
    <w:uiPriority w:val="32"/>
    <w:unhideWhenUsed/>
    <w:qFormat/>
    <w:rsid w:val="00883ABA"/>
    <w:rPr>
      <w:b/>
      <w:bCs/>
      <w:smallCaps/>
      <w:color w:val="0F4761" w:themeColor="accent1" w:themeShade="BF"/>
      <w:spacing w:val="5"/>
    </w:rPr>
  </w:style>
  <w:style w:type="character" w:styleId="af5">
    <w:name w:val="Unresolved Mention"/>
    <w:basedOn w:val="a0"/>
    <w:uiPriority w:val="99"/>
    <w:semiHidden/>
    <w:unhideWhenUsed/>
    <w:rsid w:val="00883ABA"/>
    <w:rPr>
      <w:color w:val="605E5C"/>
      <w:shd w:val="clear" w:color="auto" w:fill="E1DFDD"/>
    </w:rPr>
  </w:style>
  <w:style w:type="paragraph" w:styleId="af6">
    <w:name w:val="caption"/>
    <w:basedOn w:val="a"/>
    <w:next w:val="a"/>
    <w:autoRedefine/>
    <w:uiPriority w:val="35"/>
    <w:unhideWhenUsed/>
    <w:qFormat/>
    <w:rsid w:val="000507BA"/>
    <w:pPr>
      <w:spacing w:after="200" w:line="240" w:lineRule="auto"/>
      <w:ind w:firstLine="0"/>
      <w:jc w:val="center"/>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282C-261F-48BD-8A17-C9104809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802</Words>
  <Characters>5369</Characters>
  <Application>Microsoft Office Word</Application>
  <DocSecurity>0</DocSecurity>
  <Lines>99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2026-03-09T12:26:00Z</dcterms:created>
  <dcterms:modified xsi:type="dcterms:W3CDTF">2026-03-09T14:42:00Z</dcterms:modified>
</cp:coreProperties>
</file>