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2C32" w:rsidRDefault="00E40446" w:rsidP="00EB6D05">
      <w:pPr>
        <w:spacing w:after="80" w:line="276" w:lineRule="auto"/>
        <w:jc w:val="center"/>
        <w:rPr>
          <w:rFonts w:eastAsia="等线" w:hint="eastAsia"/>
          <w:b/>
          <w:szCs w:val="24"/>
          <w:lang w:val="ru-RU" w:eastAsia="zh-CN"/>
        </w:rPr>
      </w:pPr>
      <w:bookmarkStart w:id="0" w:name="_Toc119719044"/>
      <w:r w:rsidRPr="00E40446">
        <w:rPr>
          <w:b/>
          <w:bCs/>
          <w:szCs w:val="24"/>
        </w:rPr>
        <w:t>Устойчивость глобальных цепочек создания стоимости в условиях геоэкономического противостояния</w:t>
      </w:r>
      <w:r w:rsidR="0046346D">
        <w:rPr>
          <w:b/>
          <w:bCs/>
          <w:szCs w:val="24"/>
          <w:lang w:val="ru-RU"/>
        </w:rPr>
        <w:t xml:space="preserve"> </w:t>
      </w:r>
      <w:r w:rsidRPr="00E40446">
        <w:rPr>
          <w:b/>
          <w:bCs/>
          <w:szCs w:val="24"/>
        </w:rPr>
        <w:t>(на примере полупроводниковой и энергетической отраслей)</w:t>
      </w:r>
    </w:p>
    <w:p w:rsidR="00602C32" w:rsidRDefault="004C2C6E" w:rsidP="00602C32">
      <w:pPr>
        <w:pStyle w:val="a6"/>
        <w:spacing w:before="0" w:line="235" w:lineRule="auto"/>
        <w:rPr>
          <w:rFonts w:eastAsia="等线" w:hint="eastAsia"/>
          <w:i/>
          <w:lang w:eastAsia="zh-CN"/>
        </w:rPr>
      </w:pPr>
      <w:r w:rsidRPr="004C2C6E">
        <w:rPr>
          <w:i/>
          <w:lang w:val="en-US"/>
        </w:rPr>
        <w:t>Ван Чэнь</w:t>
      </w:r>
    </w:p>
    <w:p w:rsidR="00602C32" w:rsidRPr="006A776C" w:rsidRDefault="00866BEA" w:rsidP="00602C32">
      <w:pPr>
        <w:pStyle w:val="a6"/>
        <w:spacing w:before="0" w:line="235" w:lineRule="auto"/>
        <w:rPr>
          <w:b w:val="0"/>
          <w:i/>
        </w:rPr>
      </w:pPr>
      <w:r w:rsidRPr="00866BEA">
        <w:rPr>
          <w:b w:val="0"/>
          <w:i/>
          <w:lang w:val="en-US"/>
        </w:rPr>
        <w:t>магистра</w:t>
      </w:r>
      <w:r w:rsidR="00E6392A">
        <w:rPr>
          <w:b w:val="0"/>
          <w:i/>
        </w:rPr>
        <w:t>нт</w:t>
      </w:r>
    </w:p>
    <w:p w:rsidR="00866BEA" w:rsidRPr="00866BEA" w:rsidRDefault="00866BEA" w:rsidP="00866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val="ru-RU" w:eastAsia="ru-RU"/>
        </w:rPr>
      </w:pPr>
      <w:r w:rsidRPr="00866BEA">
        <w:rPr>
          <w:rFonts w:ascii="Times New Roman" w:eastAsia="Times New Roman" w:hAnsi="Times New Roman"/>
          <w:i/>
          <w:color w:val="000000"/>
          <w:szCs w:val="24"/>
          <w:lang w:val="ru-RU" w:eastAsia="ru-RU"/>
        </w:rPr>
        <w:t>Московский государственный университет имени М.В. Ломоносова</w:t>
      </w:r>
    </w:p>
    <w:p w:rsidR="00602C32" w:rsidRPr="006A776C" w:rsidRDefault="00866BEA" w:rsidP="00866BEA">
      <w:pPr>
        <w:pStyle w:val="a8"/>
        <w:spacing w:before="0" w:after="60" w:line="235" w:lineRule="auto"/>
      </w:pPr>
      <w:r w:rsidRPr="00866BEA">
        <w:rPr>
          <w:iCs w:val="0"/>
          <w:color w:val="000000"/>
        </w:rPr>
        <w:t>Институт стран Азии и Африки, Москва, Россия</w:t>
      </w:r>
    </w:p>
    <w:p w:rsidR="00602C32" w:rsidRDefault="00602C32" w:rsidP="00602C32">
      <w:pPr>
        <w:pStyle w:val="a8"/>
        <w:spacing w:before="0" w:after="80" w:line="235" w:lineRule="auto"/>
        <w:rPr>
          <w:rFonts w:eastAsia="等线" w:cs="Arial" w:hint="eastAsia"/>
          <w:lang w:eastAsia="zh-CN"/>
        </w:rPr>
      </w:pPr>
      <w:r w:rsidRPr="004704DD">
        <w:rPr>
          <w:rFonts w:cs="Arial"/>
          <w:lang w:val="de-DE"/>
        </w:rPr>
        <w:t>E</w:t>
      </w:r>
      <w:r w:rsidRPr="00E50350">
        <w:rPr>
          <w:rFonts w:cs="Arial"/>
        </w:rPr>
        <w:t>–</w:t>
      </w:r>
      <w:r w:rsidRPr="004704DD">
        <w:rPr>
          <w:rFonts w:cs="Arial"/>
          <w:lang w:val="de-DE"/>
        </w:rPr>
        <w:t>mail</w:t>
      </w:r>
      <w:r w:rsidRPr="00E50350">
        <w:rPr>
          <w:rFonts w:cs="Arial"/>
        </w:rPr>
        <w:t xml:space="preserve">: </w:t>
      </w:r>
      <w:r w:rsidR="00866BEA">
        <w:rPr>
          <w:rFonts w:eastAsia="等线" w:cs="Arial" w:hint="eastAsia"/>
          <w:lang w:val="en-US" w:eastAsia="zh-CN"/>
        </w:rPr>
        <w:t>572104756</w:t>
      </w:r>
      <w:r w:rsidRPr="00865A87">
        <w:rPr>
          <w:rFonts w:cs="Arial"/>
        </w:rPr>
        <w:t>@</w:t>
      </w:r>
      <w:r w:rsidR="00866BEA">
        <w:rPr>
          <w:rFonts w:eastAsia="等线" w:cs="Arial" w:hint="eastAsia"/>
          <w:lang w:eastAsia="zh-CN"/>
        </w:rPr>
        <w:t>qq.com</w:t>
      </w:r>
    </w:p>
    <w:bookmarkEnd w:id="0"/>
    <w:p w:rsidR="009236E0" w:rsidRPr="00E40446" w:rsidRDefault="00E40446" w:rsidP="00B24858">
      <w:pPr>
        <w:spacing w:line="276" w:lineRule="auto"/>
        <w:ind w:firstLine="567"/>
        <w:jc w:val="both"/>
        <w:rPr>
          <w:rStyle w:val="FontStyle11"/>
          <w:sz w:val="24"/>
          <w:szCs w:val="24"/>
          <w:lang w:val="ru-RU"/>
        </w:rPr>
      </w:pPr>
      <w:r w:rsidRPr="00E40446">
        <w:rPr>
          <w:rStyle w:val="FontStyle11"/>
          <w:sz w:val="24"/>
          <w:szCs w:val="24"/>
          <w:lang w:val="ru-RU"/>
        </w:rPr>
        <w:t>Современная модель глобальных цепочек создания стоимости (ГЦСС), основанная на принципах максимальной экономической эффективности и географической концентрации производства, демонстрирует фундаментальные ограничения в условиях обострения геоэкономического противостояния. Центральным сценарием такого противостояния является потенциальный конфликт вокруг Тайваня, где сосредоточено более 92% мирового производства передовых полупроводников (техпроцессы 7 нм и ниже). Возникшая гиперконцентрация создаёт беспрецедентный системный риск: нарушение работы острова способно спровоцировать каскадные сбои в глобальных цепочках поставок, затронув ключевые отрасли мировой экономики – от электроники до автомобилестроения. Проблема данного исследования заключается в необходимости выявления и систематизации механизмов адаптации ГЦСС к геоэкономическим рискам, а также в анализе процесса формирования альтернативных производственных архитектур, способных обеспечить устойчивость в условиях нового геополитического противостояния.</w:t>
      </w:r>
    </w:p>
    <w:p w:rsidR="009236E0" w:rsidRPr="00E40446" w:rsidRDefault="00E40446" w:rsidP="00B24858">
      <w:pPr>
        <w:spacing w:line="276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40446">
        <w:rPr>
          <w:rStyle w:val="FontStyle11"/>
          <w:sz w:val="24"/>
          <w:szCs w:val="24"/>
          <w:lang w:val="ru-RU"/>
        </w:rPr>
        <w:t>Существующие исследования можно разделить на два основных направления. Первое, представленное работами западных аналитических центров (CSIS), фокусируется на военно-стратегических сценариях и оценке прямого экономического ущерба от потенциального конфликта в Тайваньском проливе. Второе направление исследует трансформацию глобальных цепочек поставок под влиянием торговых войн и технологических санкций, вводя понятия «декуплинг» и «де-рискинг». Однако, остаётся недостаточно изученным вопрос о конкретных механизмах адаптации на отраслевом уровне и формировании альтернативных архитектур как ответа на системное геоэкономическое давление. Данное исследование призвано восполнить этот пробел, предложив анализ механизмов адаптации в двух критически важных отраслях – полупроводниковой и энергетической.</w:t>
      </w:r>
    </w:p>
    <w:p w:rsidR="009236E0" w:rsidRPr="00E40446" w:rsidRDefault="00E40446" w:rsidP="00B24858">
      <w:pPr>
        <w:spacing w:line="276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40446">
        <w:rPr>
          <w:rStyle w:val="FontStyle11"/>
          <w:sz w:val="24"/>
          <w:szCs w:val="24"/>
          <w:lang w:val="ru-RU"/>
        </w:rPr>
        <w:t>Источниковую базу составили официальные документы и нормативные акты (CHIPS and Science Act США, European Chips Act, стратегия КНР «двойной циркуляции»), материалы аналитических центров и международных организаций (Bloomberg, МЭА), а также отраслевая статистика. Методологически исследование опирается на системно-динамическое моделирование и сценарный анализ, позволяющие оценить последствия различных шоков для устойчивости ГЦСС. Для анализа адаптивных стратегий применяется компаративный метод, выявляющий общие закономерности и специфику реагирования в полупроводниковой и энергетической отраслях.</w:t>
      </w:r>
      <w:r w:rsidR="009236E0" w:rsidRPr="00E40446">
        <w:rPr>
          <w:rFonts w:ascii="Times New Roman" w:hAnsi="Times New Roman"/>
          <w:szCs w:val="24"/>
          <w:lang w:val="ru-RU"/>
        </w:rPr>
        <w:t xml:space="preserve"> </w:t>
      </w:r>
    </w:p>
    <w:p w:rsidR="009236E0" w:rsidRPr="00E40446" w:rsidRDefault="00E40446" w:rsidP="00B24858">
      <w:pPr>
        <w:spacing w:line="276" w:lineRule="auto"/>
        <w:ind w:firstLine="567"/>
        <w:jc w:val="both"/>
        <w:rPr>
          <w:rStyle w:val="FontStyle11"/>
          <w:rFonts w:eastAsia="等线"/>
          <w:sz w:val="24"/>
          <w:szCs w:val="24"/>
          <w:lang w:val="ru-RU" w:eastAsia="zh-CN"/>
        </w:rPr>
      </w:pPr>
      <w:r w:rsidRPr="00E40446">
        <w:rPr>
          <w:rStyle w:val="FontStyle11"/>
          <w:sz w:val="24"/>
          <w:szCs w:val="24"/>
          <w:lang w:val="ru-RU"/>
        </w:rPr>
        <w:t xml:space="preserve">Научная новизна работы заключается в следующем. Во-первых, предложена авторская концептуализация перехода от классической модели ГЦСС к парадигме «стратегических цепочек создания стоимости», где ключевыми становятся принципы стратегической избыточности, резильентности и управляемой географической диверсификации. Во-вторых, впервые проведён сопоставительный анализ механизмов адаптации в полупроводниковой и энергетической отраслях, что позволяет выявить как </w:t>
      </w:r>
      <w:r w:rsidRPr="00E40446">
        <w:rPr>
          <w:rStyle w:val="FontStyle11"/>
          <w:sz w:val="24"/>
          <w:szCs w:val="24"/>
          <w:lang w:val="ru-RU"/>
        </w:rPr>
        <w:lastRenderedPageBreak/>
        <w:t>общие закономерности, так и отраслевую специфику реагирования на геоэкономическое давление. В-третьих, систематизированы и классифицированы альтернативные архитектуры ГЦСС, формирующиеся в рамках региональных инициатив (IPEF, расширение ШОС, БРИКС+).</w:t>
      </w:r>
    </w:p>
    <w:p w:rsidR="0080243E" w:rsidRPr="00E40446" w:rsidRDefault="00E40446" w:rsidP="00B24858">
      <w:pPr>
        <w:spacing w:line="276" w:lineRule="auto"/>
        <w:ind w:firstLine="567"/>
        <w:jc w:val="both"/>
        <w:rPr>
          <w:rStyle w:val="FontStyle11"/>
          <w:rFonts w:eastAsia="等线"/>
          <w:sz w:val="24"/>
          <w:szCs w:val="24"/>
          <w:lang w:val="ru-RU" w:eastAsia="zh-CN"/>
        </w:rPr>
      </w:pPr>
      <w:r w:rsidRPr="00E40446">
        <w:rPr>
          <w:rStyle w:val="FontStyle11"/>
          <w:sz w:val="24"/>
          <w:szCs w:val="24"/>
          <w:lang w:val="ru-RU"/>
        </w:rPr>
        <w:t>В ходе исследования выявлены и проанализированы три ключевых механизма адаптации ГЦСС к геоэкономическому противостоянию. Первый механизм – стратегическая избыточность, который реализуется через создание комплементарных производственных узлов в дружественных юрисдикциях (например, сотрудничество США и Индии в рамках инициативы TRUST) и развитие резервных мощностей без полного отказа от экономической эффективности международного разделения труда. Второй механизм – форсированная локализация и технологический суверенитет, выражающийся в масштабных государственных инвестициях (CHIPS Act – $52 млрд, European Chips Act – €43 млрд) и стимулировании национальных производителей (прорыв SMIC в освоении 7-нм технологии). Третий механизм – формирование альтернативных архитектур на макрорегиональном уровне, таких как Индо-Тихоокеанская экономическая рамка (IPEF) и инициативы Китая в рамках ШОС и связей с АСЕАН. Анализ энергетической отрасли на примере переориентации российских поставок после 2022 года демонстрирует высокую адаптивность и способность к быстрой реконфигурации, что контрастирует с инерционностью и высокими технологическими барьерами в полупроводниковой сфере.</w:t>
      </w:r>
    </w:p>
    <w:p w:rsidR="0080243E" w:rsidRPr="00E40446" w:rsidRDefault="00E40446" w:rsidP="00E40446">
      <w:pPr>
        <w:spacing w:line="276" w:lineRule="auto"/>
        <w:ind w:firstLine="567"/>
        <w:jc w:val="both"/>
        <w:rPr>
          <w:rFonts w:ascii="Times New Roman" w:eastAsia="等线" w:hAnsi="Times New Roman" w:hint="eastAsia"/>
          <w:szCs w:val="24"/>
          <w:lang w:val="ru-RU" w:eastAsia="zh-CN"/>
        </w:rPr>
      </w:pPr>
      <w:r w:rsidRPr="00E40446">
        <w:rPr>
          <w:rStyle w:val="FontStyle11"/>
          <w:sz w:val="24"/>
          <w:szCs w:val="24"/>
          <w:lang w:val="ru-RU"/>
        </w:rPr>
        <w:t>Проведённый анализ позволяет сделать следующие выводы. Во-первых, геоэкономическое противостояние, ключевым элементом которого является тайваньский вопрос, выступает мощным катализатором фундаментальной трансформации глобальных цепочек создания стоимости. Во-вторых, формирующаяся парадигма «стратегических цепочек» знаменует переход от эпохи одномерной эффективности к многокритериальной модели, сочетающей экономическую рациональность, национальную безопасность и технологический суверенитет. В-третьих, эффективность адаптации напрямую зависит от способности государств и корпораций выстраивать многоуровневую систему, включающую диверсификацию, стратегические запасы и активное участие в формировании новых региональных архитектур. Дальнейшая эволюция ГЦСС будет определяться способностью мировой экономики преодолеть фрагментацию и сохранить элементы кооперации, необходимые для устойчивого развития.</w:t>
      </w:r>
    </w:p>
    <w:p w:rsidR="00602C32" w:rsidRPr="00B24858" w:rsidRDefault="00B24858" w:rsidP="00B24858">
      <w:pPr>
        <w:pStyle w:val="lomabstact"/>
        <w:spacing w:line="276" w:lineRule="auto"/>
      </w:pPr>
      <w:r w:rsidRPr="00B24858">
        <w:t>Источники и л</w:t>
      </w:r>
      <w:r w:rsidR="00602C32" w:rsidRPr="00B24858">
        <w:t>итература</w:t>
      </w:r>
    </w:p>
    <w:p w:rsidR="009F78A7" w:rsidRPr="00B24858" w:rsidRDefault="00554F9F" w:rsidP="00B24858">
      <w:pPr>
        <w:pStyle w:val="-1"/>
        <w:numPr>
          <w:ilvl w:val="0"/>
          <w:numId w:val="7"/>
        </w:numPr>
        <w:spacing w:line="276" w:lineRule="auto"/>
        <w:contextualSpacing w:val="0"/>
        <w:jc w:val="both"/>
        <w:rPr>
          <w:i/>
        </w:rPr>
      </w:pPr>
      <w:r w:rsidRPr="00783C82">
        <w:rPr>
          <w:i/>
        </w:rPr>
        <w:t xml:space="preserve">Thadani A., Allen G.C. Mapping the Semiconductor Supply Chain // CSIS. </w:t>
      </w:r>
      <w:r w:rsidRPr="00376CA8">
        <w:rPr>
          <w:i/>
        </w:rPr>
        <w:t>[Электронный ресурс]. – URL:</w:t>
      </w:r>
      <w:r w:rsidRPr="00376CA8">
        <w:t xml:space="preserve"> </w:t>
      </w:r>
      <w:r w:rsidRPr="00376CA8">
        <w:rPr>
          <w:i/>
        </w:rPr>
        <w:t>https://csis-website-prod.s3.amazonaws.com/s3fs-public/2023-05/230530_Thadani_MappingSemiconductor_SupplyChain.pdf?VersionId=SK1wKUNf_.qSF3kzMF.aG8dwd.fFTURH</w:t>
      </w:r>
    </w:p>
    <w:p w:rsidR="009F78A7" w:rsidRPr="00B24858" w:rsidRDefault="00554F9F" w:rsidP="00B24858">
      <w:pPr>
        <w:pStyle w:val="-1"/>
        <w:numPr>
          <w:ilvl w:val="0"/>
          <w:numId w:val="7"/>
        </w:numPr>
        <w:spacing w:line="276" w:lineRule="auto"/>
        <w:contextualSpacing w:val="0"/>
        <w:jc w:val="both"/>
        <w:rPr>
          <w:i/>
        </w:rPr>
      </w:pPr>
      <w:r w:rsidRPr="001A01AE">
        <w:rPr>
          <w:i/>
        </w:rPr>
        <w:t>Welch J. et al. XI, Biden and the $10 Trillion Cost of War Over Taiwan // Bloomberg.</w:t>
      </w:r>
      <w:r>
        <w:rPr>
          <w:rFonts w:eastAsia="等线" w:hint="eastAsia"/>
          <w:i/>
          <w:lang w:eastAsia="zh-CN"/>
        </w:rPr>
        <w:t xml:space="preserve"> </w:t>
      </w:r>
      <w:bookmarkStart w:id="1" w:name="_Hlk223185030"/>
      <w:bookmarkStart w:id="2" w:name="_Hlk223186063"/>
      <w:r w:rsidRPr="00941CF3">
        <w:rPr>
          <w:i/>
        </w:rPr>
        <w:t>[Электронный ресурс]</w:t>
      </w:r>
      <w:r>
        <w:rPr>
          <w:rFonts w:eastAsia="等线" w:hint="eastAsia"/>
          <w:i/>
          <w:lang w:eastAsia="zh-CN"/>
        </w:rPr>
        <w:t>.</w:t>
      </w:r>
      <w:bookmarkEnd w:id="1"/>
      <w:r w:rsidRPr="001A01AE">
        <w:rPr>
          <w:i/>
        </w:rPr>
        <w:t xml:space="preserve"> – URL: </w:t>
      </w:r>
      <w:bookmarkEnd w:id="2"/>
      <w:r w:rsidRPr="001A01AE">
        <w:rPr>
          <w:i/>
        </w:rPr>
        <w:t>https://www.bloomberg.com/news/features/2024-01-09/if-china-invades-taiwan-it-would-cost-world-economy-10-trillion</w:t>
      </w:r>
    </w:p>
    <w:p w:rsidR="001941B6" w:rsidRPr="001941B6" w:rsidRDefault="00554F9F" w:rsidP="001941B6">
      <w:pPr>
        <w:pStyle w:val="-1"/>
        <w:numPr>
          <w:ilvl w:val="0"/>
          <w:numId w:val="7"/>
        </w:numPr>
        <w:spacing w:line="276" w:lineRule="auto"/>
        <w:jc w:val="both"/>
        <w:rPr>
          <w:i/>
        </w:rPr>
      </w:pPr>
      <w:r w:rsidRPr="00554F9F">
        <w:rPr>
          <w:i/>
        </w:rPr>
        <w:t>The CHIPS and Science Act of 2022. Public Law 117-167</w:t>
      </w:r>
      <w:r>
        <w:rPr>
          <w:i/>
          <w:lang w:val="en-US"/>
        </w:rPr>
        <w:t>.</w:t>
      </w:r>
      <w:r w:rsidRPr="00554F9F">
        <w:rPr>
          <w:i/>
        </w:rPr>
        <w:t xml:space="preserve"> [Электронный ресурс]. – URL: https://www.congress.gov/117/plaws/publ167/PLAW-117publ167.pdf</w:t>
      </w:r>
    </w:p>
    <w:p w:rsidR="00B24858" w:rsidRPr="001941B6" w:rsidRDefault="00554F9F" w:rsidP="001941B6">
      <w:pPr>
        <w:numPr>
          <w:ilvl w:val="0"/>
          <w:numId w:val="7"/>
        </w:numPr>
        <w:rPr>
          <w:rFonts w:ascii="Times New Roman" w:eastAsia="Calibri" w:hAnsi="Times New Roman" w:hint="eastAsia"/>
          <w:i/>
          <w:szCs w:val="24"/>
          <w:lang w:val="ru-RU"/>
        </w:rPr>
      </w:pPr>
      <w:r w:rsidRPr="00554F9F">
        <w:rPr>
          <w:rFonts w:ascii="Times New Roman" w:eastAsia="Calibri" w:hAnsi="Times New Roman"/>
          <w:i/>
          <w:szCs w:val="24"/>
          <w:lang w:val="ru-RU"/>
        </w:rPr>
        <w:t>European Chips Act</w:t>
      </w:r>
      <w:r>
        <w:rPr>
          <w:rFonts w:ascii="Times New Roman" w:eastAsia="Calibri" w:hAnsi="Times New Roman"/>
          <w:i/>
          <w:szCs w:val="24"/>
        </w:rPr>
        <w:t>.</w:t>
      </w:r>
      <w:r w:rsidRPr="00554F9F">
        <w:rPr>
          <w:rFonts w:ascii="Times New Roman" w:eastAsia="Calibri" w:hAnsi="Times New Roman"/>
          <w:i/>
          <w:szCs w:val="24"/>
          <w:lang w:val="ru-RU"/>
        </w:rPr>
        <w:t xml:space="preserve"> [Электронный ресурс]</w:t>
      </w:r>
      <w:r>
        <w:rPr>
          <w:rFonts w:ascii="Times New Roman" w:eastAsia="Calibri" w:hAnsi="Times New Roman"/>
          <w:i/>
          <w:szCs w:val="24"/>
        </w:rPr>
        <w:t>.</w:t>
      </w:r>
      <w:r w:rsidRPr="00554F9F">
        <w:rPr>
          <w:rFonts w:ascii="Times New Roman" w:eastAsia="Calibri" w:hAnsi="Times New Roman"/>
          <w:i/>
          <w:szCs w:val="24"/>
          <w:lang w:val="ru-RU"/>
        </w:rPr>
        <w:t xml:space="preserve"> – URL: https://commission.europa.eu/strategy-and-policy/priorities-2019-2024/europe-fit-digital-age/european-chips-act_en</w:t>
      </w:r>
    </w:p>
    <w:sectPr w:rsidR="00B24858" w:rsidRPr="001941B6" w:rsidSect="00E22F58">
      <w:pgSz w:w="11907" w:h="16840" w:code="9"/>
      <w:pgMar w:top="1134" w:right="850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130B" w:rsidRDefault="00C3130B">
      <w:r>
        <w:separator/>
      </w:r>
    </w:p>
  </w:endnote>
  <w:endnote w:type="continuationSeparator" w:id="0">
    <w:p w:rsidR="00C3130B" w:rsidRDefault="00C3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130B" w:rsidRDefault="00C3130B">
      <w:r>
        <w:separator/>
      </w:r>
    </w:p>
  </w:footnote>
  <w:footnote w:type="continuationSeparator" w:id="0">
    <w:p w:rsidR="00C3130B" w:rsidRDefault="00C3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C325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B006D"/>
    <w:multiLevelType w:val="hybridMultilevel"/>
    <w:tmpl w:val="1BD40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FAA"/>
    <w:multiLevelType w:val="multilevel"/>
    <w:tmpl w:val="DE0C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276D6"/>
    <w:multiLevelType w:val="hybridMultilevel"/>
    <w:tmpl w:val="7E420F64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E0874"/>
    <w:multiLevelType w:val="multilevel"/>
    <w:tmpl w:val="D50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462DA"/>
    <w:multiLevelType w:val="hybridMultilevel"/>
    <w:tmpl w:val="44863BE0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81D86"/>
    <w:multiLevelType w:val="hybridMultilevel"/>
    <w:tmpl w:val="B0B8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6917">
    <w:abstractNumId w:val="3"/>
  </w:num>
  <w:num w:numId="2" w16cid:durableId="1722240967">
    <w:abstractNumId w:val="5"/>
  </w:num>
  <w:num w:numId="3" w16cid:durableId="1109738965">
    <w:abstractNumId w:val="4"/>
  </w:num>
  <w:num w:numId="4" w16cid:durableId="1130200455">
    <w:abstractNumId w:val="6"/>
  </w:num>
  <w:num w:numId="5" w16cid:durableId="1764842361">
    <w:abstractNumId w:val="7"/>
  </w:num>
  <w:num w:numId="6" w16cid:durableId="2091930231">
    <w:abstractNumId w:val="1"/>
  </w:num>
  <w:num w:numId="7" w16cid:durableId="1452944530">
    <w:abstractNumId w:val="2"/>
  </w:num>
  <w:num w:numId="8" w16cid:durableId="3734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A4"/>
    <w:rsid w:val="00002A17"/>
    <w:rsid w:val="00021269"/>
    <w:rsid w:val="00022E7C"/>
    <w:rsid w:val="000237C7"/>
    <w:rsid w:val="00031E4F"/>
    <w:rsid w:val="000468BA"/>
    <w:rsid w:val="00063ED2"/>
    <w:rsid w:val="0006633D"/>
    <w:rsid w:val="00080BE0"/>
    <w:rsid w:val="00080FE6"/>
    <w:rsid w:val="0008750D"/>
    <w:rsid w:val="000902B1"/>
    <w:rsid w:val="000A1D25"/>
    <w:rsid w:val="000E7BDE"/>
    <w:rsid w:val="001055F9"/>
    <w:rsid w:val="001307BA"/>
    <w:rsid w:val="0014778C"/>
    <w:rsid w:val="001530AD"/>
    <w:rsid w:val="00161AA2"/>
    <w:rsid w:val="001661A3"/>
    <w:rsid w:val="00177097"/>
    <w:rsid w:val="00184554"/>
    <w:rsid w:val="00191E6E"/>
    <w:rsid w:val="001921A7"/>
    <w:rsid w:val="001941B6"/>
    <w:rsid w:val="001B19C5"/>
    <w:rsid w:val="001C0425"/>
    <w:rsid w:val="001D1840"/>
    <w:rsid w:val="001D1B45"/>
    <w:rsid w:val="00204235"/>
    <w:rsid w:val="00220468"/>
    <w:rsid w:val="00235C4B"/>
    <w:rsid w:val="00247B6A"/>
    <w:rsid w:val="002822A4"/>
    <w:rsid w:val="00284449"/>
    <w:rsid w:val="002A2741"/>
    <w:rsid w:val="002C3FD2"/>
    <w:rsid w:val="002C7864"/>
    <w:rsid w:val="002F4120"/>
    <w:rsid w:val="002F51D1"/>
    <w:rsid w:val="00304464"/>
    <w:rsid w:val="00317A5D"/>
    <w:rsid w:val="0038654F"/>
    <w:rsid w:val="003C71BB"/>
    <w:rsid w:val="004143E8"/>
    <w:rsid w:val="0042536B"/>
    <w:rsid w:val="00453E39"/>
    <w:rsid w:val="0046346D"/>
    <w:rsid w:val="00466BA4"/>
    <w:rsid w:val="00472169"/>
    <w:rsid w:val="0047795A"/>
    <w:rsid w:val="00490E1B"/>
    <w:rsid w:val="004A2E0A"/>
    <w:rsid w:val="004A727B"/>
    <w:rsid w:val="004B36C1"/>
    <w:rsid w:val="004C2C6E"/>
    <w:rsid w:val="004C3BFB"/>
    <w:rsid w:val="004D7101"/>
    <w:rsid w:val="004F76FB"/>
    <w:rsid w:val="0051524C"/>
    <w:rsid w:val="00554F9F"/>
    <w:rsid w:val="00557513"/>
    <w:rsid w:val="005727FB"/>
    <w:rsid w:val="00574E8B"/>
    <w:rsid w:val="00581FE7"/>
    <w:rsid w:val="00590A57"/>
    <w:rsid w:val="005A2EFC"/>
    <w:rsid w:val="005C644A"/>
    <w:rsid w:val="005C7861"/>
    <w:rsid w:val="005D69A5"/>
    <w:rsid w:val="005E32F6"/>
    <w:rsid w:val="006020A6"/>
    <w:rsid w:val="00602C32"/>
    <w:rsid w:val="00604F23"/>
    <w:rsid w:val="006460B1"/>
    <w:rsid w:val="0065785E"/>
    <w:rsid w:val="00660175"/>
    <w:rsid w:val="0067248D"/>
    <w:rsid w:val="0067277E"/>
    <w:rsid w:val="00692AF1"/>
    <w:rsid w:val="00697FFA"/>
    <w:rsid w:val="006A2344"/>
    <w:rsid w:val="006C1757"/>
    <w:rsid w:val="006C5D19"/>
    <w:rsid w:val="006D0BBA"/>
    <w:rsid w:val="006D4F63"/>
    <w:rsid w:val="006F065D"/>
    <w:rsid w:val="006F58A3"/>
    <w:rsid w:val="006F6CAA"/>
    <w:rsid w:val="00735C94"/>
    <w:rsid w:val="00735F23"/>
    <w:rsid w:val="007417A3"/>
    <w:rsid w:val="00751939"/>
    <w:rsid w:val="0075376E"/>
    <w:rsid w:val="00760B85"/>
    <w:rsid w:val="007A719C"/>
    <w:rsid w:val="007C793E"/>
    <w:rsid w:val="007D2DFE"/>
    <w:rsid w:val="007D5917"/>
    <w:rsid w:val="007E1B1D"/>
    <w:rsid w:val="0080236F"/>
    <w:rsid w:val="0080243E"/>
    <w:rsid w:val="00866BEA"/>
    <w:rsid w:val="008B3381"/>
    <w:rsid w:val="008E2347"/>
    <w:rsid w:val="008F3774"/>
    <w:rsid w:val="00901F1C"/>
    <w:rsid w:val="009101AF"/>
    <w:rsid w:val="0091652D"/>
    <w:rsid w:val="009236E0"/>
    <w:rsid w:val="00947CBC"/>
    <w:rsid w:val="00974FBD"/>
    <w:rsid w:val="009771B4"/>
    <w:rsid w:val="00981684"/>
    <w:rsid w:val="00985F50"/>
    <w:rsid w:val="009917EF"/>
    <w:rsid w:val="009A19D3"/>
    <w:rsid w:val="009A6676"/>
    <w:rsid w:val="009B68E6"/>
    <w:rsid w:val="009C56DA"/>
    <w:rsid w:val="009C5BA7"/>
    <w:rsid w:val="009D5006"/>
    <w:rsid w:val="009F15D0"/>
    <w:rsid w:val="009F78A7"/>
    <w:rsid w:val="00A13D98"/>
    <w:rsid w:val="00A150C6"/>
    <w:rsid w:val="00A3408D"/>
    <w:rsid w:val="00A5735F"/>
    <w:rsid w:val="00A72CB9"/>
    <w:rsid w:val="00A939B5"/>
    <w:rsid w:val="00AC7D58"/>
    <w:rsid w:val="00AD4E69"/>
    <w:rsid w:val="00B163C0"/>
    <w:rsid w:val="00B24858"/>
    <w:rsid w:val="00B736B0"/>
    <w:rsid w:val="00B7791A"/>
    <w:rsid w:val="00BA092A"/>
    <w:rsid w:val="00BA4BEF"/>
    <w:rsid w:val="00BB2C15"/>
    <w:rsid w:val="00BB42BA"/>
    <w:rsid w:val="00BC23DB"/>
    <w:rsid w:val="00BE5B1A"/>
    <w:rsid w:val="00BE611C"/>
    <w:rsid w:val="00C06A90"/>
    <w:rsid w:val="00C07404"/>
    <w:rsid w:val="00C11C28"/>
    <w:rsid w:val="00C14477"/>
    <w:rsid w:val="00C16D5A"/>
    <w:rsid w:val="00C3130B"/>
    <w:rsid w:val="00C5473A"/>
    <w:rsid w:val="00C77BFD"/>
    <w:rsid w:val="00C82B37"/>
    <w:rsid w:val="00C94DE0"/>
    <w:rsid w:val="00CA04E7"/>
    <w:rsid w:val="00CB3110"/>
    <w:rsid w:val="00CB4A58"/>
    <w:rsid w:val="00CC2BE3"/>
    <w:rsid w:val="00CC4B4E"/>
    <w:rsid w:val="00CD1B7F"/>
    <w:rsid w:val="00CE0D33"/>
    <w:rsid w:val="00CF02A8"/>
    <w:rsid w:val="00D042A6"/>
    <w:rsid w:val="00D0655A"/>
    <w:rsid w:val="00D271DC"/>
    <w:rsid w:val="00D717CB"/>
    <w:rsid w:val="00D75F87"/>
    <w:rsid w:val="00DA439F"/>
    <w:rsid w:val="00DA79C1"/>
    <w:rsid w:val="00DB03E6"/>
    <w:rsid w:val="00DD54B6"/>
    <w:rsid w:val="00E052EA"/>
    <w:rsid w:val="00E22F58"/>
    <w:rsid w:val="00E40446"/>
    <w:rsid w:val="00E44018"/>
    <w:rsid w:val="00E51D63"/>
    <w:rsid w:val="00E560C2"/>
    <w:rsid w:val="00E6392A"/>
    <w:rsid w:val="00E7386B"/>
    <w:rsid w:val="00EB6D05"/>
    <w:rsid w:val="00EB6F5E"/>
    <w:rsid w:val="00EB7146"/>
    <w:rsid w:val="00EC2EB0"/>
    <w:rsid w:val="00EC5041"/>
    <w:rsid w:val="00F01617"/>
    <w:rsid w:val="00F148F3"/>
    <w:rsid w:val="00F3078A"/>
    <w:rsid w:val="00F46CAF"/>
    <w:rsid w:val="00F63919"/>
    <w:rsid w:val="00F7194E"/>
    <w:rsid w:val="00F800AB"/>
    <w:rsid w:val="00FA28ED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chartTrackingRefBased/>
  <w15:docId w15:val="{8D96F690-2A8C-4D70-B9D9-D82AED4C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6C1"/>
    <w:rPr>
      <w:rFonts w:ascii="Times" w:eastAsia="Times" w:hAnsi="Times"/>
      <w:sz w:val="24"/>
      <w:lang w:eastAsia="en-US"/>
    </w:rPr>
  </w:style>
  <w:style w:type="paragraph" w:styleId="1">
    <w:name w:val="heading 1"/>
    <w:basedOn w:val="a"/>
    <w:next w:val="a"/>
    <w:qFormat/>
    <w:rsid w:val="004B36C1"/>
    <w:pPr>
      <w:keepNext/>
      <w:ind w:firstLine="540"/>
      <w:jc w:val="right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B36C1"/>
    <w:rPr>
      <w:color w:val="0000FF"/>
      <w:u w:val="single"/>
    </w:rPr>
  </w:style>
  <w:style w:type="paragraph" w:styleId="a4">
    <w:name w:val="Body Text Indent"/>
    <w:basedOn w:val="a"/>
    <w:rsid w:val="004B36C1"/>
    <w:pPr>
      <w:ind w:firstLine="540"/>
      <w:jc w:val="both"/>
    </w:pPr>
    <w:rPr>
      <w:rFonts w:ascii="Times New Roman" w:eastAsia="Times New Roman" w:hAnsi="Times New Roman"/>
      <w:szCs w:val="24"/>
      <w:lang w:val="ru-RU" w:eastAsia="ru-RU"/>
    </w:rPr>
  </w:style>
  <w:style w:type="character" w:styleId="a5">
    <w:name w:val="Strong"/>
    <w:qFormat/>
    <w:rsid w:val="006F58A3"/>
    <w:rPr>
      <w:b/>
      <w:bCs/>
    </w:rPr>
  </w:style>
  <w:style w:type="paragraph" w:customStyle="1" w:styleId="a6">
    <w:name w:val="Ломоносов_название Знак Знак"/>
    <w:basedOn w:val="a"/>
    <w:link w:val="a7"/>
    <w:rsid w:val="00602C32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7">
    <w:name w:val="Ломоносов_название Знак Знак Знак"/>
    <w:link w:val="a6"/>
    <w:rsid w:val="00602C32"/>
    <w:rPr>
      <w:rFonts w:ascii="Times" w:eastAsia="Times" w:hAnsi="Times"/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602C32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styleId="a9">
    <w:name w:val="footnote text"/>
    <w:basedOn w:val="a"/>
    <w:link w:val="aa"/>
    <w:rsid w:val="00602C32"/>
    <w:rPr>
      <w:rFonts w:ascii="Times New Roman" w:eastAsia="Times New Roman" w:hAnsi="Times New Roman"/>
      <w:sz w:val="20"/>
      <w:lang w:val="ru-RU" w:eastAsia="ru-RU"/>
    </w:rPr>
  </w:style>
  <w:style w:type="character" w:styleId="ab">
    <w:name w:val="footnote reference"/>
    <w:uiPriority w:val="99"/>
    <w:semiHidden/>
    <w:rsid w:val="00602C32"/>
    <w:rPr>
      <w:vertAlign w:val="superscript"/>
    </w:rPr>
  </w:style>
  <w:style w:type="paragraph" w:customStyle="1" w:styleId="lomabstact">
    <w:name w:val="lom_abstact"/>
    <w:basedOn w:val="a8"/>
    <w:rsid w:val="00602C32"/>
    <w:pPr>
      <w:spacing w:before="60" w:after="60" w:line="240" w:lineRule="auto"/>
    </w:pPr>
    <w:rPr>
      <w:b/>
      <w:bCs/>
      <w:i w:val="0"/>
    </w:rPr>
  </w:style>
  <w:style w:type="paragraph" w:customStyle="1" w:styleId="demography">
    <w:name w:val="demography_начало"/>
    <w:basedOn w:val="a"/>
    <w:next w:val="a"/>
    <w:rsid w:val="00602C32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styleId="ac">
    <w:name w:val="FollowedHyperlink"/>
    <w:uiPriority w:val="99"/>
    <w:semiHidden/>
    <w:unhideWhenUsed/>
    <w:rsid w:val="0051524C"/>
    <w:rPr>
      <w:color w:val="800080"/>
      <w:u w:val="single"/>
    </w:rPr>
  </w:style>
  <w:style w:type="character" w:customStyle="1" w:styleId="FontStyle11">
    <w:name w:val="Font Style11"/>
    <w:uiPriority w:val="99"/>
    <w:rsid w:val="009236E0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uiPriority w:val="99"/>
    <w:rsid w:val="009236E0"/>
    <w:rPr>
      <w:rFonts w:ascii="Times New Roman" w:hAnsi="Times New Roman" w:cs="Times New Roman"/>
      <w:sz w:val="22"/>
      <w:szCs w:val="22"/>
    </w:rPr>
  </w:style>
  <w:style w:type="paragraph" w:styleId="-1">
    <w:name w:val="Colorful List Accent 1"/>
    <w:basedOn w:val="a"/>
    <w:uiPriority w:val="34"/>
    <w:qFormat/>
    <w:rsid w:val="009236E0"/>
    <w:pPr>
      <w:ind w:left="720"/>
      <w:contextualSpacing/>
    </w:pPr>
    <w:rPr>
      <w:rFonts w:ascii="Times New Roman" w:eastAsia="Calibri" w:hAnsi="Times New Roman"/>
      <w:szCs w:val="24"/>
      <w:lang w:val="ru-RU"/>
    </w:rPr>
  </w:style>
  <w:style w:type="character" w:customStyle="1" w:styleId="FontStyle107">
    <w:name w:val="Font Style107"/>
    <w:uiPriority w:val="99"/>
    <w:rsid w:val="009236E0"/>
    <w:rPr>
      <w:rFonts w:ascii="Times New Roman" w:hAnsi="Times New Roman" w:cs="Times New Roman"/>
      <w:sz w:val="20"/>
      <w:szCs w:val="20"/>
    </w:rPr>
  </w:style>
  <w:style w:type="character" w:customStyle="1" w:styleId="FontStyle108">
    <w:name w:val="Font Style108"/>
    <w:uiPriority w:val="99"/>
    <w:rsid w:val="009236E0"/>
    <w:rPr>
      <w:rFonts w:ascii="Times New Roman" w:hAnsi="Times New Roman" w:cs="Times New Roman"/>
      <w:i/>
      <w:iCs/>
      <w:sz w:val="20"/>
      <w:szCs w:val="20"/>
    </w:rPr>
  </w:style>
  <w:style w:type="character" w:customStyle="1" w:styleId="aa">
    <w:name w:val="脚注文本 字符"/>
    <w:basedOn w:val="a0"/>
    <w:link w:val="a9"/>
    <w:rsid w:val="009236E0"/>
  </w:style>
  <w:style w:type="character" w:styleId="ad">
    <w:name w:val="Unresolved Mention"/>
    <w:uiPriority w:val="99"/>
    <w:semiHidden/>
    <w:unhideWhenUsed/>
    <w:rsid w:val="00D717C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779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rsid w:val="0047795A"/>
    <w:rPr>
      <w:rFonts w:ascii="Times" w:eastAsia="Times" w:hAnsi="Times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4779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link w:val="af0"/>
    <w:uiPriority w:val="99"/>
    <w:rsid w:val="0047795A"/>
    <w:rPr>
      <w:rFonts w:ascii="Times" w:eastAsia="Times" w:hAnsi="Time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CALL FOR PAPERS</vt:lpstr>
    </vt:vector>
  </TitlesOfParts>
  <Company>Small Office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/>
  <dc:creator>User NAME</dc:creator>
  <cp:keywords/>
  <cp:lastModifiedBy>0 0</cp:lastModifiedBy>
  <cp:revision>2</cp:revision>
  <cp:lastPrinted>2009-02-08T21:37:00Z</cp:lastPrinted>
  <dcterms:created xsi:type="dcterms:W3CDTF">2026-03-02T19:51:00Z</dcterms:created>
  <dcterms:modified xsi:type="dcterms:W3CDTF">2026-03-02T19:51:00Z</dcterms:modified>
</cp:coreProperties>
</file>