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5A4D" w14:textId="6C47BED6" w:rsidR="003E1FAE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1F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Тенев</w:t>
      </w:r>
      <w:r w:rsidR="006E7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 экономика</w:t>
      </w:r>
      <w:r w:rsidR="00C91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r w:rsidR="006E75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1F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современной Турции: проблемы определения масштабов</w:t>
      </w:r>
    </w:p>
    <w:p w14:paraId="21249EBC" w14:textId="6762BDE8" w:rsidR="003E1FAE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Харитонов Артём Алексеевич</w:t>
      </w:r>
    </w:p>
    <w:p w14:paraId="14EA5835" w14:textId="67280B1D" w:rsidR="003E1FAE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3 курс бакалавриата</w:t>
      </w:r>
    </w:p>
    <w:p w14:paraId="7D46AEC9" w14:textId="77777777" w:rsidR="003E1FAE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1BAC4471" w14:textId="77777777" w:rsidR="003E1FAE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3ACA5A6C" w14:textId="2FB690A1" w:rsidR="003E1FAE" w:rsidRPr="003E1FAE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3E1F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5" w:history="1">
        <w:r w:rsidR="007C2B54" w:rsidRPr="006B60CB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kharitonov.artyom.alekseevich@gmail.com</w:t>
        </w:r>
      </w:hyperlink>
      <w:r w:rsidR="007C2B5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14:paraId="16827457" w14:textId="39A357B5" w:rsidR="00D314DA" w:rsidRPr="00901C63" w:rsidRDefault="007C2B54" w:rsidP="007C2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Несмотря на устойчивый экономический рост Турции в 2000-е гг. и масштабные институциональные реформы, теневая экономика продолжает играть значительную роль,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негативно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влияя на 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поступлени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легализацию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рын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 и достоверность макроэкономической статистики. </w:t>
      </w:r>
    </w:p>
    <w:p w14:paraId="119271A9" w14:textId="698E77B9" w:rsidR="007C2B54" w:rsidRPr="00901C63" w:rsidRDefault="002B7B1F" w:rsidP="007C2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Теневая экономика Турции представляет собой устойчивый структурный феномен, масштабы которого по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оценкам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авторов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варьируются от 23–28% ВВП (Schneider, 2015) до 27–68% ВВП (</w:t>
      </w:r>
      <w:proofErr w:type="spellStart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Güler</w:t>
      </w:r>
      <w:proofErr w:type="spellEnd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55A8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Toparlak</w:t>
      </w:r>
      <w:proofErr w:type="spellEnd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2018) в зависимости от применяемой методологии. Столь значительный разброс обнажает фундаментальную проблему: отсутствие консенсусной методологии измерения неформального сектора в условиях экономики с высокой долей наличного оборота, разветвлённым рынком незарегистрированного труда и специфическими каналами вывода капитала (в частности — теневой торговлей золотом). Проблема приобретает особую актуальность в свете того, что недооценка теневого сектора ведёт к систематическим ошибкам в фискальном прогнозировании и политике занятости. </w:t>
      </w:r>
    </w:p>
    <w:p w14:paraId="3A1F1A2A" w14:textId="66DC7F44" w:rsidR="007C2B54" w:rsidRPr="00901C63" w:rsidRDefault="007C2B54" w:rsidP="007C2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Историография проблемы включает широкий круг зарубежных и отечественных работ. Классические исследования Ф. Шнайдера и Д. </w:t>
      </w:r>
      <w:proofErr w:type="spellStart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Энсте</w:t>
      </w:r>
      <w:proofErr w:type="spellEnd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заложили основу </w:t>
      </w:r>
      <w:r w:rsidR="004B55A8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странового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анализа теневой экономики, показав ключевую роль налоговой нагрузки, качества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институтов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доверия к государству. В более поздних публикациях Ф. Шнайдера на материалах МВФ 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был сделан вывод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для стран с развивающимися рынками, включая Турцию, характерны устойчивые расхождения между официальной и фактической экономической активностью. 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турецкой историографии исследователи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Güler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Toparlak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(2018) применили метод денежного спроса к периоду 2001–2016 гг., зафиксировав пиковые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размеры теневого сектора в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59,4% в кризисном 2001 г. и 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снижение до 27,3% в 2016 г. Параллельно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Köksal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Işık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Katircioğlu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(2020) предположили наличие связи теневого сектора с экологическим следом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Duyar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(2025) исследовал теневой оборот золота после введения импортных квот 2023 г</w:t>
      </w:r>
      <w:r w:rsid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Oskay</w:t>
      </w:r>
      <w:proofErr w:type="spellEnd"/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(2026)</w:t>
      </w:r>
      <w:r w:rsidR="004B55A8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изучив более 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145 публикаций, исследовал влияние на неформальный сектор экономик разных стран социологических факторов, таких как, например, «налоговая мораль».</w:t>
      </w:r>
    </w:p>
    <w:p w14:paraId="476288C7" w14:textId="7C09EB8D" w:rsidR="007C2B54" w:rsidRPr="00901C63" w:rsidRDefault="007C2B54" w:rsidP="007C2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Научная новизна исследования заключается в сравнительном анализе различных подходов к оценке теневой экономики Турции с акцентом на выявление причин расхождений между результатами. Это позволяет не только оценить диапазон 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разброса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значений доли теневого сектора, но и выявить структурные и институциональные факторы, </w:t>
      </w:r>
      <w:r w:rsidR="00D314DA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влияющие на результат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E8D3F2" w14:textId="02C21E8C" w:rsidR="00D66C19" w:rsidRPr="00901C63" w:rsidRDefault="00D66C19" w:rsidP="007C2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Источниковая база исследования включает: официальную статистику TÜİK, TCMB и Министерства финансов Турции, базы данных World Bank и IMF, данные Global </w:t>
      </w:r>
      <w:proofErr w:type="spellStart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Footprint</w:t>
      </w:r>
      <w:proofErr w:type="spellEnd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Network (1961–20</w:t>
      </w:r>
      <w:r w:rsidR="004B55A8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котировки </w:t>
      </w:r>
      <w:proofErr w:type="spellStart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Kitco</w:t>
      </w:r>
      <w:proofErr w:type="spellEnd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BIST по рынку золота (2018–2025). </w:t>
      </w:r>
    </w:p>
    <w:p w14:paraId="3161DB87" w14:textId="02F74311" w:rsidR="007C2B54" w:rsidRPr="00901C63" w:rsidRDefault="007C2B54" w:rsidP="007C2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</w:t>
      </w:r>
      <w:r w:rsidR="00480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автором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</w:t>
      </w:r>
      <w:r w:rsidR="00480D1D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зованы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косвенные макроэкономические методы оценки: транзакционный метод, метод потребления электроэнергии, метод по трудоустройству и метод расхождений доходов и расходов. </w:t>
      </w:r>
    </w:p>
    <w:p w14:paraId="11596E33" w14:textId="77777777" w:rsidR="00480D1D" w:rsidRDefault="007C2B54" w:rsidP="004B5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исследования показано, что социально-экономические предпосылки теневой экономики в Турции носят комплексный характер. Существенную роль играет структура налоговой системы, в которой высокая доля косвенных налогов и значительный налоговый клин на труд стимулируют уход части экономических агентов в неформальный сектор. </w:t>
      </w:r>
      <w:r w:rsidR="00E55031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Макроэкономическая нестабильность последних лет, сопровождавшаяся ускорением инфляции и валютной волатильностью, усилила мотивацию к сокрытию доходов и использованию альтернативных каналов экономической активности. </w:t>
      </w:r>
    </w:p>
    <w:p w14:paraId="44FF65E9" w14:textId="7A409370" w:rsidR="004B55A8" w:rsidRPr="00901C63" w:rsidRDefault="004B55A8" w:rsidP="004B5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Сопоставление методологий выявило следующее: метод денежного спроса даёт наиболее высокие оценки (пик 59,4% в 2001 г.) и чувствителен к монетарным шокам, неизбежным в условиях турецких кризисов. MIMIC-модели Шнайдера дают более сглаженный ряд (27–32% в 2003–2015 гг.); их преимущество – многоиндикаторность, недостаток – чувствительность к выбору </w:t>
      </w:r>
      <w:r w:rsidR="00480D1D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объясняющих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переменных</w:t>
      </w:r>
      <w:r w:rsidR="00480D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игнорировании других. Прямые методы (выборочные обследования занятости) фиксируют неформальную занятость на уровне 30-35% для середины 2010-х и 25-30% для 2020-х, что согласуется с MIMIC, но не с денежными оценками. </w:t>
      </w:r>
    </w:p>
    <w:p w14:paraId="61369E21" w14:textId="0CE7A720" w:rsidR="00D66C19" w:rsidRDefault="00480D1D" w:rsidP="00D66C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</w:t>
      </w:r>
      <w:r w:rsidR="00766D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образом, </w:t>
      </w:r>
      <w:r w:rsidR="00766DCE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 из существующих методологий не обеспечивает исчерпывающего измерения теневого сектора Турции в силу его структурной неоднородности: разброс оценок в 2–2,5 раза между методами не является «ошибкой», а отражает разные грани феномена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66C19"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9EAB40B" w14:textId="77777777" w:rsidR="00480D1D" w:rsidRPr="00901C63" w:rsidRDefault="00480D1D" w:rsidP="00D66C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21DF17" w14:textId="77777777" w:rsidR="003E1FAE" w:rsidRPr="00901C63" w:rsidRDefault="003E1FAE" w:rsidP="003E1F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901C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Источники</w:t>
      </w:r>
      <w:r w:rsidRPr="00901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901C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901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901C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литература</w:t>
      </w:r>
    </w:p>
    <w:p w14:paraId="2B66F8F9" w14:textId="700BA1C0" w:rsidR="007C2B54" w:rsidRPr="00901C63" w:rsidRDefault="007C2B54" w:rsidP="007C2B54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Schneider F., </w:t>
      </w:r>
      <w:proofErr w:type="spellStart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Enste</w:t>
      </w:r>
      <w:proofErr w:type="spellEnd"/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D. </w:t>
      </w:r>
      <w:r w:rsidRPr="00901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The Shadow Economy: An International Survey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Cambridge: Cambridge University Press, 2002.</w:t>
      </w:r>
    </w:p>
    <w:p w14:paraId="286A28AC" w14:textId="35BBDD1A" w:rsidR="007C2B54" w:rsidRPr="00901C63" w:rsidRDefault="007C2B54" w:rsidP="007C2B54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Schneider F. Shadow Economies Around the World: Size, Causes, and Consequences // </w:t>
      </w:r>
      <w:r w:rsidRPr="00901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IMF Working Paper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2000. No. WP/00/26.</w:t>
      </w:r>
    </w:p>
    <w:p w14:paraId="0BA71B84" w14:textId="454698E0" w:rsidR="007C2B54" w:rsidRPr="00901C63" w:rsidRDefault="007C2B54" w:rsidP="007C2B54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OECD. </w:t>
      </w:r>
      <w:r w:rsidRPr="00901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Measuring the Non-Observed Economy: A Handbook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Paris: OECD Publishing, 2002.</w:t>
      </w:r>
    </w:p>
    <w:p w14:paraId="24D73FF1" w14:textId="50AEC449" w:rsidR="007C2B54" w:rsidRPr="00901C63" w:rsidRDefault="007C2B54" w:rsidP="007C2B54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World Bank. </w:t>
      </w:r>
      <w:r w:rsidRPr="00901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Informality: Causes and Consequences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Washington, DC: World Bank, 2019.</w:t>
      </w:r>
    </w:p>
    <w:p w14:paraId="70BCC1BC" w14:textId="2FDD4458" w:rsidR="007C2B54" w:rsidRPr="00901C63" w:rsidRDefault="007C2B54" w:rsidP="007C2B54">
      <w:pPr>
        <w:pStyle w:val="a6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Меньшиков А. С. Методы оценки количественной составляющей теневой экономики Российской Федерации // </w:t>
      </w:r>
      <w:r w:rsidRPr="00901C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Теневая экономика</w:t>
      </w:r>
      <w:r w:rsidRPr="00901C63">
        <w:rPr>
          <w:rFonts w:ascii="Times New Roman" w:eastAsia="Times New Roman" w:hAnsi="Times New Roman" w:cs="Times New Roman"/>
          <w:color w:val="000000"/>
          <w:sz w:val="28"/>
          <w:szCs w:val="28"/>
        </w:rPr>
        <w:t>. 2020. Т. 4, № 3. С. 111–126.</w:t>
      </w:r>
    </w:p>
    <w:p w14:paraId="5003C9BC" w14:textId="77777777" w:rsidR="00AD554F" w:rsidRDefault="00AD554F"/>
    <w:sectPr w:rsidR="00AD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4DFF"/>
    <w:multiLevelType w:val="hybridMultilevel"/>
    <w:tmpl w:val="F646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5619"/>
    <w:multiLevelType w:val="hybridMultilevel"/>
    <w:tmpl w:val="30E0526E"/>
    <w:lvl w:ilvl="0" w:tplc="1876BC88">
      <w:numFmt w:val="bullet"/>
      <w:lvlText w:val="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B6B19"/>
    <w:multiLevelType w:val="hybridMultilevel"/>
    <w:tmpl w:val="05D29648"/>
    <w:lvl w:ilvl="0" w:tplc="BB1E269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00"/>
    <w:rsid w:val="00062CD9"/>
    <w:rsid w:val="002B7B1F"/>
    <w:rsid w:val="003E1FAE"/>
    <w:rsid w:val="00480D1D"/>
    <w:rsid w:val="004B55A8"/>
    <w:rsid w:val="005A538F"/>
    <w:rsid w:val="005E2700"/>
    <w:rsid w:val="006E7571"/>
    <w:rsid w:val="00766DCE"/>
    <w:rsid w:val="007C2B54"/>
    <w:rsid w:val="00901C63"/>
    <w:rsid w:val="00AD554F"/>
    <w:rsid w:val="00B00BB6"/>
    <w:rsid w:val="00B23727"/>
    <w:rsid w:val="00C2078D"/>
    <w:rsid w:val="00C914BC"/>
    <w:rsid w:val="00D314DA"/>
    <w:rsid w:val="00D66C19"/>
    <w:rsid w:val="00E55031"/>
    <w:rsid w:val="00F2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DF4B"/>
  <w15:chartTrackingRefBased/>
  <w15:docId w15:val="{0FE2D1B2-DDA5-41C4-9220-1E27C5F5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FAE"/>
    <w:rPr>
      <w:b/>
      <w:bCs/>
    </w:rPr>
  </w:style>
  <w:style w:type="character" w:customStyle="1" w:styleId="whitespace-normal">
    <w:name w:val="whitespace-normal"/>
    <w:basedOn w:val="a0"/>
    <w:rsid w:val="003E1FAE"/>
  </w:style>
  <w:style w:type="character" w:styleId="a5">
    <w:name w:val="Hyperlink"/>
    <w:basedOn w:val="a0"/>
    <w:uiPriority w:val="99"/>
    <w:unhideWhenUsed/>
    <w:rsid w:val="003E1FA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E1FAE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7C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ritonov.artyom.alekseevi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Харитонов</dc:creator>
  <cp:keywords/>
  <dc:description/>
  <cp:lastModifiedBy>Артём Харитонов</cp:lastModifiedBy>
  <cp:revision>12</cp:revision>
  <dcterms:created xsi:type="dcterms:W3CDTF">2026-02-28T10:32:00Z</dcterms:created>
  <dcterms:modified xsi:type="dcterms:W3CDTF">2026-03-09T10:21:00Z</dcterms:modified>
</cp:coreProperties>
</file>