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87" w:rsidRDefault="00402487" w:rsidP="00402487">
      <w:pPr>
        <w:pStyle w:val="docdata"/>
        <w:spacing w:before="30" w:beforeAutospacing="0" w:after="0" w:afterAutospacing="0"/>
        <w:jc w:val="center"/>
      </w:pPr>
      <w:r>
        <w:rPr>
          <w:b/>
          <w:bCs/>
          <w:color w:val="000000"/>
          <w:shd w:val="clear" w:color="auto" w:fill="FFFFFF"/>
        </w:rPr>
        <w:t xml:space="preserve">Горнодобывающая </w:t>
      </w:r>
      <w:r w:rsidR="002D470B">
        <w:rPr>
          <w:b/>
          <w:bCs/>
          <w:color w:val="000000"/>
          <w:shd w:val="clear" w:color="auto" w:fill="FFFFFF"/>
        </w:rPr>
        <w:t>промышленность</w:t>
      </w:r>
      <w:r>
        <w:rPr>
          <w:b/>
          <w:bCs/>
          <w:color w:val="000000"/>
          <w:shd w:val="clear" w:color="auto" w:fill="FFFFFF"/>
        </w:rPr>
        <w:t xml:space="preserve"> Марокко как драйвер экономического развития</w:t>
      </w:r>
    </w:p>
    <w:p w:rsidR="00402487" w:rsidRDefault="00402487" w:rsidP="00402487">
      <w:pPr>
        <w:pStyle w:val="a3"/>
        <w:spacing w:before="30" w:beforeAutospacing="0" w:after="0" w:afterAutospacing="0"/>
        <w:jc w:val="center"/>
      </w:pPr>
      <w:r>
        <w:rPr>
          <w:b/>
          <w:bCs/>
          <w:i/>
          <w:iCs/>
          <w:color w:val="000000"/>
          <w:shd w:val="clear" w:color="auto" w:fill="FFFFFF"/>
        </w:rPr>
        <w:t xml:space="preserve">Лобанова Ольга </w:t>
      </w:r>
      <w:proofErr w:type="spellStart"/>
      <w:r>
        <w:rPr>
          <w:b/>
          <w:bCs/>
          <w:i/>
          <w:iCs/>
          <w:color w:val="000000"/>
          <w:shd w:val="clear" w:color="auto" w:fill="FFFFFF"/>
        </w:rPr>
        <w:t>Алекснадровна</w:t>
      </w:r>
      <w:proofErr w:type="spellEnd"/>
    </w:p>
    <w:p w:rsidR="00402487" w:rsidRDefault="00402487" w:rsidP="00402487">
      <w:pPr>
        <w:pStyle w:val="a3"/>
        <w:spacing w:before="30" w:beforeAutospacing="0" w:after="0" w:afterAutospacing="0"/>
        <w:jc w:val="center"/>
      </w:pPr>
      <w:r>
        <w:rPr>
          <w:i/>
          <w:iCs/>
          <w:color w:val="000000"/>
          <w:shd w:val="clear" w:color="auto" w:fill="FFFFFF"/>
        </w:rPr>
        <w:t>Студент</w:t>
      </w:r>
    </w:p>
    <w:p w:rsidR="00402487" w:rsidRDefault="00402487" w:rsidP="00402487">
      <w:pPr>
        <w:pStyle w:val="a3"/>
        <w:spacing w:before="30" w:beforeAutospacing="0" w:after="0" w:afterAutospacing="0"/>
        <w:jc w:val="center"/>
      </w:pPr>
      <w:r>
        <w:rPr>
          <w:i/>
          <w:iCs/>
          <w:color w:val="333333"/>
          <w:shd w:val="clear" w:color="auto" w:fill="FFFFFF"/>
        </w:rPr>
        <w:t xml:space="preserve">Московский государственный университет имени </w:t>
      </w:r>
      <w:proofErr w:type="spellStart"/>
      <w:r>
        <w:rPr>
          <w:i/>
          <w:iCs/>
          <w:color w:val="333333"/>
          <w:shd w:val="clear" w:color="auto" w:fill="FFFFFF"/>
        </w:rPr>
        <w:t>М.В.Ломоносова</w:t>
      </w:r>
      <w:proofErr w:type="spellEnd"/>
      <w:r>
        <w:rPr>
          <w:i/>
          <w:iCs/>
          <w:color w:val="333333"/>
          <w:shd w:val="clear" w:color="auto" w:fill="FFFFFF"/>
        </w:rPr>
        <w:t xml:space="preserve">, </w:t>
      </w:r>
    </w:p>
    <w:p w:rsidR="00402487" w:rsidRDefault="00402487" w:rsidP="00402487">
      <w:pPr>
        <w:pStyle w:val="a3"/>
        <w:spacing w:before="30" w:beforeAutospacing="0" w:after="0" w:afterAutospacing="0"/>
        <w:jc w:val="center"/>
      </w:pPr>
      <w:r>
        <w:rPr>
          <w:i/>
          <w:iCs/>
          <w:color w:val="333333"/>
          <w:shd w:val="clear" w:color="auto" w:fill="FFFFFF"/>
        </w:rPr>
        <w:t>Институт Стран Азии и Африки, Москва, Россия</w:t>
      </w:r>
    </w:p>
    <w:p w:rsidR="00402487" w:rsidRPr="00875B43" w:rsidRDefault="00402487" w:rsidP="00402487">
      <w:pPr>
        <w:pStyle w:val="a3"/>
        <w:spacing w:before="30" w:beforeAutospacing="0" w:after="0" w:afterAutospacing="0"/>
        <w:jc w:val="center"/>
      </w:pPr>
      <w:r w:rsidRPr="00402487">
        <w:rPr>
          <w:i/>
          <w:iCs/>
          <w:color w:val="333333"/>
          <w:shd w:val="clear" w:color="auto" w:fill="FFFFFF"/>
          <w:lang w:val="en-US"/>
        </w:rPr>
        <w:t>E</w:t>
      </w:r>
      <w:r w:rsidRPr="00875B43">
        <w:rPr>
          <w:i/>
          <w:iCs/>
          <w:color w:val="333333"/>
          <w:shd w:val="clear" w:color="auto" w:fill="FFFFFF"/>
        </w:rPr>
        <w:t>-</w:t>
      </w:r>
      <w:r w:rsidRPr="00402487">
        <w:rPr>
          <w:i/>
          <w:iCs/>
          <w:color w:val="333333"/>
          <w:shd w:val="clear" w:color="auto" w:fill="FFFFFF"/>
          <w:lang w:val="en-US"/>
        </w:rPr>
        <w:t>mail</w:t>
      </w:r>
      <w:r w:rsidRPr="00875B43">
        <w:rPr>
          <w:i/>
          <w:iCs/>
          <w:color w:val="333333"/>
          <w:shd w:val="clear" w:color="auto" w:fill="FFFFFF"/>
        </w:rPr>
        <w:t xml:space="preserve">: </w:t>
      </w:r>
      <w:proofErr w:type="spellStart"/>
      <w:r>
        <w:rPr>
          <w:i/>
          <w:iCs/>
          <w:color w:val="333333"/>
          <w:shd w:val="clear" w:color="auto" w:fill="FFFFFF"/>
          <w:lang w:val="en-US"/>
        </w:rPr>
        <w:t>lobanovaoa</w:t>
      </w:r>
      <w:proofErr w:type="spellEnd"/>
      <w:r w:rsidRPr="00875B43">
        <w:rPr>
          <w:i/>
          <w:iCs/>
          <w:color w:val="333333"/>
          <w:shd w:val="clear" w:color="auto" w:fill="FFFFFF"/>
        </w:rPr>
        <w:t>64@</w:t>
      </w:r>
      <w:proofErr w:type="spellStart"/>
      <w:r>
        <w:rPr>
          <w:i/>
          <w:iCs/>
          <w:color w:val="333333"/>
          <w:shd w:val="clear" w:color="auto" w:fill="FFFFFF"/>
          <w:lang w:val="en-US"/>
        </w:rPr>
        <w:t>yandex</w:t>
      </w:r>
      <w:proofErr w:type="spellEnd"/>
      <w:r w:rsidRPr="00875B43">
        <w:rPr>
          <w:i/>
          <w:iCs/>
          <w:color w:val="333333"/>
          <w:shd w:val="clear" w:color="auto" w:fill="FFFFFF"/>
        </w:rPr>
        <w:t>.</w:t>
      </w:r>
      <w:proofErr w:type="spellStart"/>
      <w:r>
        <w:rPr>
          <w:i/>
          <w:iCs/>
          <w:color w:val="333333"/>
          <w:shd w:val="clear" w:color="auto" w:fill="FFFFFF"/>
          <w:lang w:val="en-US"/>
        </w:rPr>
        <w:t>ru</w:t>
      </w:r>
      <w:proofErr w:type="spellEnd"/>
    </w:p>
    <w:p w:rsidR="00402487" w:rsidRPr="00875B43" w:rsidRDefault="00402487" w:rsidP="00402487">
      <w:pPr>
        <w:pStyle w:val="a3"/>
        <w:spacing w:before="30" w:beforeAutospacing="0" w:after="0" w:afterAutospacing="0"/>
        <w:ind w:firstLine="708"/>
        <w:jc w:val="both"/>
      </w:pPr>
      <w:r w:rsidRPr="00402487">
        <w:rPr>
          <w:lang w:val="en-US"/>
        </w:rPr>
        <w:t> </w:t>
      </w:r>
    </w:p>
    <w:p w:rsidR="00AD276E" w:rsidRPr="00875B43" w:rsidRDefault="00AD276E" w:rsidP="00875B43">
      <w:pPr>
        <w:jc w:val="both"/>
        <w:rPr>
          <w:rFonts w:asciiTheme="majorBidi" w:hAnsiTheme="majorBidi" w:cstheme="majorBidi"/>
          <w:sz w:val="24"/>
          <w:szCs w:val="24"/>
        </w:rPr>
      </w:pPr>
      <w:r w:rsidRPr="00875B43">
        <w:rPr>
          <w:rFonts w:asciiTheme="majorBidi" w:hAnsiTheme="majorBidi" w:cstheme="majorBidi"/>
          <w:sz w:val="24"/>
          <w:szCs w:val="24"/>
        </w:rPr>
        <w:t>Горнодобывающая промышленность играет системообразующую роль в экономике Королевства Марокко, обеспечивая 8-10% ВВП, около 30% национального экспорта и 70% грузоперевозок.</w:t>
      </w:r>
      <w:r w:rsidR="008C0A26" w:rsidRPr="008C0A26">
        <w:rPr>
          <w:rFonts w:asciiTheme="majorBidi" w:hAnsiTheme="majorBidi" w:cstheme="majorBidi"/>
          <w:sz w:val="24"/>
          <w:szCs w:val="24"/>
        </w:rPr>
        <w:t xml:space="preserve"> [1]</w:t>
      </w:r>
      <w:r w:rsidR="0045432C" w:rsidRPr="00875B43">
        <w:rPr>
          <w:rFonts w:asciiTheme="majorBidi" w:hAnsiTheme="majorBidi" w:cstheme="majorBidi"/>
          <w:sz w:val="24"/>
          <w:szCs w:val="24"/>
        </w:rPr>
        <w:t xml:space="preserve"> С</w:t>
      </w:r>
      <w:r w:rsidRPr="00875B43">
        <w:rPr>
          <w:rFonts w:asciiTheme="majorBidi" w:hAnsiTheme="majorBidi" w:cstheme="majorBidi"/>
          <w:sz w:val="24"/>
          <w:szCs w:val="24"/>
        </w:rPr>
        <w:t>ектор выступает ключевым драйвером регионального развития, стимулируя создание инфраструктуры и смежных производств в удаленных районах страны. Однако исторически отрасль сталкивалась с серьезными вызовами: высокая зависимость от сырьевого экспорта (прежде всего фосфатов), наличие обширного неформального сектора, экологические проблемы и необходимость привлечения масштабных инвестиций для диверсификации добычи.</w:t>
      </w:r>
    </w:p>
    <w:p w:rsidR="00AD276E" w:rsidRPr="00875B43" w:rsidRDefault="00AD276E" w:rsidP="00875B43">
      <w:pPr>
        <w:jc w:val="both"/>
        <w:rPr>
          <w:rFonts w:asciiTheme="majorBidi" w:hAnsiTheme="majorBidi" w:cstheme="majorBidi"/>
          <w:sz w:val="24"/>
          <w:szCs w:val="24"/>
        </w:rPr>
      </w:pPr>
      <w:r w:rsidRPr="00875B43">
        <w:rPr>
          <w:rFonts w:asciiTheme="majorBidi" w:hAnsiTheme="majorBidi" w:cstheme="majorBidi"/>
          <w:sz w:val="24"/>
          <w:szCs w:val="24"/>
        </w:rPr>
        <w:t>Ответом на эти вызовы стала комплексная реформа институциональной и правовой базы, развернутая правительством Марокко в последнее десятилетие. Ключевым элементом стало принятие но</w:t>
      </w:r>
      <w:r w:rsidR="0045432C" w:rsidRPr="00875B43">
        <w:rPr>
          <w:rFonts w:asciiTheme="majorBidi" w:hAnsiTheme="majorBidi" w:cstheme="majorBidi"/>
          <w:sz w:val="24"/>
          <w:szCs w:val="24"/>
        </w:rPr>
        <w:t xml:space="preserve">вого Горного кодекса (2015) </w:t>
      </w:r>
      <w:r w:rsidRPr="00875B43">
        <w:rPr>
          <w:rFonts w:asciiTheme="majorBidi" w:hAnsiTheme="majorBidi" w:cstheme="majorBidi"/>
          <w:sz w:val="24"/>
          <w:szCs w:val="24"/>
        </w:rPr>
        <w:t>и укрепление роли Национального управления по углеводородам и горнодобывающей промышленности (ONHYM) как «единого окна» для инвесторов. Новый кодекс создал прозрачные и предсказуемые правила игры: установил четкие фискальные стимулы (льготная ставка налога на прибыль 17,5%</w:t>
      </w:r>
      <w:r w:rsidR="008C0A26" w:rsidRPr="008C0A26">
        <w:rPr>
          <w:rFonts w:asciiTheme="majorBidi" w:hAnsiTheme="majorBidi" w:cstheme="majorBidi"/>
          <w:sz w:val="24"/>
          <w:szCs w:val="24"/>
        </w:rPr>
        <w:t xml:space="preserve"> </w:t>
      </w:r>
      <w:r w:rsidR="008C0A26">
        <w:rPr>
          <w:rFonts w:asciiTheme="majorBidi" w:hAnsiTheme="majorBidi" w:cstheme="majorBidi"/>
          <w:sz w:val="24"/>
          <w:szCs w:val="24"/>
        </w:rPr>
        <w:t>[</w:t>
      </w:r>
      <w:r w:rsidR="008C0A26" w:rsidRPr="008C0A26">
        <w:rPr>
          <w:rFonts w:asciiTheme="majorBidi" w:hAnsiTheme="majorBidi" w:cstheme="majorBidi"/>
          <w:sz w:val="24"/>
          <w:szCs w:val="24"/>
        </w:rPr>
        <w:t>2]</w:t>
      </w:r>
      <w:r w:rsidRPr="00875B43">
        <w:rPr>
          <w:rFonts w:asciiTheme="majorBidi" w:hAnsiTheme="majorBidi" w:cstheme="majorBidi"/>
          <w:sz w:val="24"/>
          <w:szCs w:val="24"/>
        </w:rPr>
        <w:t xml:space="preserve"> для экспортеров, инвестиционные вычеты), юридически закрепил принцип экологической ответственности через </w:t>
      </w:r>
      <w:r w:rsidR="00577D4B">
        <w:rPr>
          <w:rFonts w:asciiTheme="majorBidi" w:hAnsiTheme="majorBidi" w:cstheme="majorBidi"/>
          <w:sz w:val="24"/>
          <w:szCs w:val="24"/>
        </w:rPr>
        <w:t>обязательные планы восстановления</w:t>
      </w:r>
      <w:r w:rsidRPr="00875B43">
        <w:rPr>
          <w:rFonts w:asciiTheme="majorBidi" w:hAnsiTheme="majorBidi" w:cstheme="majorBidi"/>
          <w:sz w:val="24"/>
          <w:szCs w:val="24"/>
        </w:rPr>
        <w:t xml:space="preserve"> земель, и обеспечил защиту прав инвесторов.</w:t>
      </w:r>
    </w:p>
    <w:p w:rsidR="00AD276E" w:rsidRPr="00875B43" w:rsidRDefault="00AD276E" w:rsidP="00875B43">
      <w:pPr>
        <w:jc w:val="both"/>
        <w:rPr>
          <w:rFonts w:asciiTheme="majorBidi" w:hAnsiTheme="majorBidi" w:cstheme="majorBidi"/>
          <w:sz w:val="24"/>
          <w:szCs w:val="24"/>
        </w:rPr>
      </w:pPr>
      <w:r w:rsidRPr="00875B43">
        <w:rPr>
          <w:rFonts w:asciiTheme="majorBidi" w:hAnsiTheme="majorBidi" w:cstheme="majorBidi"/>
          <w:sz w:val="24"/>
          <w:szCs w:val="24"/>
        </w:rPr>
        <w:t>Параллельно с законодательными изме</w:t>
      </w:r>
      <w:r w:rsidR="0045432C" w:rsidRPr="00875B43">
        <w:rPr>
          <w:rFonts w:asciiTheme="majorBidi" w:hAnsiTheme="majorBidi" w:cstheme="majorBidi"/>
          <w:sz w:val="24"/>
          <w:szCs w:val="24"/>
        </w:rPr>
        <w:t xml:space="preserve">нениями реализуется стратегия </w:t>
      </w:r>
      <w:proofErr w:type="spellStart"/>
      <w:r w:rsidRPr="00875B43">
        <w:rPr>
          <w:rFonts w:asciiTheme="majorBidi" w:hAnsiTheme="majorBidi" w:cstheme="majorBidi"/>
          <w:sz w:val="24"/>
          <w:szCs w:val="24"/>
        </w:rPr>
        <w:t>цифровизации</w:t>
      </w:r>
      <w:proofErr w:type="spellEnd"/>
      <w:r w:rsidRPr="00875B43">
        <w:rPr>
          <w:rFonts w:asciiTheme="majorBidi" w:hAnsiTheme="majorBidi" w:cstheme="majorBidi"/>
          <w:sz w:val="24"/>
          <w:szCs w:val="24"/>
        </w:rPr>
        <w:t xml:space="preserve"> отра</w:t>
      </w:r>
      <w:r w:rsidR="0045432C" w:rsidRPr="00875B43">
        <w:rPr>
          <w:rFonts w:asciiTheme="majorBidi" w:hAnsiTheme="majorBidi" w:cstheme="majorBidi"/>
          <w:sz w:val="24"/>
          <w:szCs w:val="24"/>
        </w:rPr>
        <w:t>сли</w:t>
      </w:r>
      <w:r w:rsidRPr="00875B43">
        <w:rPr>
          <w:rFonts w:asciiTheme="majorBidi" w:hAnsiTheme="majorBidi" w:cstheme="majorBidi"/>
          <w:sz w:val="24"/>
          <w:szCs w:val="24"/>
        </w:rPr>
        <w:t>, важнейшим элементом которой становится создание национального электронного реестра недропользования. Этот инструмент знаменует фундаментальный сдвиг в управлении — переход от бумажного документооборота к управлению стратегическими цифровыми активами. Концентрация геологических данных, л</w:t>
      </w:r>
      <w:bookmarkStart w:id="0" w:name="_GoBack"/>
      <w:bookmarkEnd w:id="0"/>
      <w:r w:rsidRPr="00875B43">
        <w:rPr>
          <w:rFonts w:asciiTheme="majorBidi" w:hAnsiTheme="majorBidi" w:cstheme="majorBidi"/>
          <w:sz w:val="24"/>
          <w:szCs w:val="24"/>
        </w:rPr>
        <w:t>ицензий и отчетности в единой цифровой среде не только повышает прозрачность и снижает коррупционные риски, но и создает аналитическую базу для прогнозного моделирования, что критически важно для привлечения глобальных инвесторов, требующих открытости.</w:t>
      </w:r>
    </w:p>
    <w:p w:rsidR="00AD276E" w:rsidRPr="00875B43" w:rsidRDefault="00AD276E" w:rsidP="00875B43">
      <w:pPr>
        <w:jc w:val="both"/>
        <w:rPr>
          <w:rFonts w:asciiTheme="majorBidi" w:hAnsiTheme="majorBidi" w:cstheme="majorBidi"/>
          <w:sz w:val="24"/>
          <w:szCs w:val="24"/>
        </w:rPr>
      </w:pPr>
      <w:r w:rsidRPr="00875B43">
        <w:rPr>
          <w:rFonts w:asciiTheme="majorBidi" w:hAnsiTheme="majorBidi" w:cstheme="majorBidi"/>
          <w:sz w:val="24"/>
          <w:szCs w:val="24"/>
        </w:rPr>
        <w:t xml:space="preserve">Важнейшим </w:t>
      </w:r>
      <w:r w:rsidR="0045432C" w:rsidRPr="00875B43">
        <w:rPr>
          <w:rFonts w:asciiTheme="majorBidi" w:hAnsiTheme="majorBidi" w:cstheme="majorBidi"/>
          <w:sz w:val="24"/>
          <w:szCs w:val="24"/>
        </w:rPr>
        <w:t>направлением реформ становится</w:t>
      </w:r>
      <w:r w:rsidR="00402487" w:rsidRPr="00875B43">
        <w:rPr>
          <w:rFonts w:asciiTheme="majorBidi" w:hAnsiTheme="majorBidi" w:cstheme="majorBidi"/>
          <w:sz w:val="24"/>
          <w:szCs w:val="24"/>
        </w:rPr>
        <w:t xml:space="preserve"> </w:t>
      </w:r>
      <w:r w:rsidRPr="00875B43">
        <w:rPr>
          <w:rFonts w:asciiTheme="majorBidi" w:hAnsiTheme="majorBidi" w:cstheme="majorBidi"/>
          <w:sz w:val="24"/>
          <w:szCs w:val="24"/>
        </w:rPr>
        <w:t>соци</w:t>
      </w:r>
      <w:r w:rsidR="0045432C" w:rsidRPr="00875B43">
        <w:rPr>
          <w:rFonts w:asciiTheme="majorBidi" w:hAnsiTheme="majorBidi" w:cstheme="majorBidi"/>
          <w:sz w:val="24"/>
          <w:szCs w:val="24"/>
        </w:rPr>
        <w:t>ально-ориентированная политика</w:t>
      </w:r>
      <w:r w:rsidRPr="00875B43">
        <w:rPr>
          <w:rFonts w:asciiTheme="majorBidi" w:hAnsiTheme="majorBidi" w:cstheme="majorBidi"/>
          <w:sz w:val="24"/>
          <w:szCs w:val="24"/>
        </w:rPr>
        <w:t>, или стратегия «локализации благ». Государство внедряет механизмы, обязывающие горнодобывающие компании передавать значительный объем вспомогательных работ на субподряд локальным предприятиям, а также формировать кадровые резервы из числа местных жителей с опережающими инвестициями в их профессиональное обучение. Эта политика направлена на превращение добывающих анклавов в центры устойчивого регионального развития, снижая риски социальной напряженности и обеспечивая распределение выгод от недропользования.</w:t>
      </w:r>
    </w:p>
    <w:p w:rsidR="00AD276E" w:rsidRPr="00875B43" w:rsidRDefault="00AD276E" w:rsidP="00E67084">
      <w:pPr>
        <w:jc w:val="both"/>
        <w:rPr>
          <w:rFonts w:asciiTheme="majorBidi" w:hAnsiTheme="majorBidi" w:cstheme="majorBidi"/>
          <w:sz w:val="24"/>
          <w:szCs w:val="24"/>
        </w:rPr>
      </w:pPr>
      <w:r w:rsidRPr="00875B43">
        <w:rPr>
          <w:rFonts w:asciiTheme="majorBidi" w:hAnsiTheme="majorBidi" w:cstheme="majorBidi"/>
          <w:sz w:val="24"/>
          <w:szCs w:val="24"/>
        </w:rPr>
        <w:t xml:space="preserve">Особого </w:t>
      </w:r>
      <w:r w:rsidR="0045432C" w:rsidRPr="00875B43">
        <w:rPr>
          <w:rFonts w:asciiTheme="majorBidi" w:hAnsiTheme="majorBidi" w:cstheme="majorBidi"/>
          <w:sz w:val="24"/>
          <w:szCs w:val="24"/>
        </w:rPr>
        <w:t xml:space="preserve">внимания заслуживает политика </w:t>
      </w:r>
      <w:r w:rsidRPr="00875B43">
        <w:rPr>
          <w:rFonts w:asciiTheme="majorBidi" w:hAnsiTheme="majorBidi" w:cstheme="majorBidi"/>
          <w:sz w:val="24"/>
          <w:szCs w:val="24"/>
        </w:rPr>
        <w:t xml:space="preserve">формализации сектора артельной </w:t>
      </w:r>
      <w:r w:rsidR="0045432C" w:rsidRPr="00875B43">
        <w:rPr>
          <w:rFonts w:asciiTheme="majorBidi" w:hAnsiTheme="majorBidi" w:cstheme="majorBidi"/>
          <w:sz w:val="24"/>
          <w:szCs w:val="24"/>
        </w:rPr>
        <w:t>и мелкомасштабной добычи (ASM)</w:t>
      </w:r>
      <w:r w:rsidRPr="00875B43">
        <w:rPr>
          <w:rFonts w:asciiTheme="majorBidi" w:hAnsiTheme="majorBidi" w:cstheme="majorBidi"/>
          <w:sz w:val="24"/>
          <w:szCs w:val="24"/>
        </w:rPr>
        <w:t xml:space="preserve">, в котором занято около 7,5 тысяч человек. Через </w:t>
      </w:r>
      <w:r w:rsidRPr="00875B43">
        <w:rPr>
          <w:rFonts w:asciiTheme="majorBidi" w:hAnsiTheme="majorBidi" w:cstheme="majorBidi"/>
          <w:sz w:val="24"/>
          <w:szCs w:val="24"/>
        </w:rPr>
        <w:lastRenderedPageBreak/>
        <w:t xml:space="preserve">создание специальных правовых режимов (как в регионах </w:t>
      </w:r>
      <w:proofErr w:type="spellStart"/>
      <w:r w:rsidRPr="00875B43">
        <w:rPr>
          <w:rFonts w:asciiTheme="majorBidi" w:hAnsiTheme="majorBidi" w:cstheme="majorBidi"/>
          <w:sz w:val="24"/>
          <w:szCs w:val="24"/>
        </w:rPr>
        <w:t>Тафилалет</w:t>
      </w:r>
      <w:proofErr w:type="spellEnd"/>
      <w:r w:rsidRPr="00875B43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875B43">
        <w:rPr>
          <w:rFonts w:asciiTheme="majorBidi" w:hAnsiTheme="majorBidi" w:cstheme="majorBidi"/>
          <w:sz w:val="24"/>
          <w:szCs w:val="24"/>
        </w:rPr>
        <w:t>Фигиг</w:t>
      </w:r>
      <w:proofErr w:type="spellEnd"/>
      <w:r w:rsidRPr="00875B43">
        <w:rPr>
          <w:rFonts w:asciiTheme="majorBidi" w:hAnsiTheme="majorBidi" w:cstheme="majorBidi"/>
          <w:sz w:val="24"/>
          <w:szCs w:val="24"/>
        </w:rPr>
        <w:t>) и централизованную закупку продукции через институт CADETAF государство стремится легализовать эту деятельность, интегрировать старателей в формальную экономику, что позволит повысить налоговые сборы, улучшить условия труда и снизить экологический ущерб.</w:t>
      </w:r>
      <w:r w:rsidR="00E67084">
        <w:rPr>
          <w:rFonts w:asciiTheme="majorBidi" w:hAnsiTheme="majorBidi" w:cstheme="majorBidi"/>
          <w:sz w:val="24"/>
          <w:szCs w:val="24"/>
        </w:rPr>
        <w:t xml:space="preserve"> [3</w:t>
      </w:r>
      <w:r w:rsidR="00E67084" w:rsidRPr="008C0A26">
        <w:rPr>
          <w:rFonts w:asciiTheme="majorBidi" w:hAnsiTheme="majorBidi" w:cstheme="majorBidi"/>
          <w:sz w:val="24"/>
          <w:szCs w:val="24"/>
        </w:rPr>
        <w:t>]</w:t>
      </w:r>
    </w:p>
    <w:p w:rsidR="00AD276E" w:rsidRPr="00875B43" w:rsidRDefault="00AD276E" w:rsidP="00E67084">
      <w:pPr>
        <w:jc w:val="both"/>
        <w:rPr>
          <w:rFonts w:asciiTheme="majorBidi" w:hAnsiTheme="majorBidi" w:cstheme="majorBidi"/>
          <w:sz w:val="24"/>
          <w:szCs w:val="24"/>
        </w:rPr>
      </w:pPr>
      <w:r w:rsidRPr="00875B43">
        <w:rPr>
          <w:rFonts w:asciiTheme="majorBidi" w:hAnsiTheme="majorBidi" w:cstheme="majorBidi"/>
          <w:sz w:val="24"/>
          <w:szCs w:val="24"/>
        </w:rPr>
        <w:t xml:space="preserve">Проводимые преобразования уже демонстрируют конкретные результаты. Создан прочный институциональный фундамент для устойчивого роста. Благодаря новым прозрачным правилам удалось перераспределить 277 ранее отозванных лицензий в пользу 78 преимущественно марокканских компаний, что мобилизовало около 2 </w:t>
      </w:r>
      <w:proofErr w:type="gramStart"/>
      <w:r w:rsidRPr="00875B43">
        <w:rPr>
          <w:rFonts w:asciiTheme="majorBidi" w:hAnsiTheme="majorBidi" w:cstheme="majorBidi"/>
          <w:sz w:val="24"/>
          <w:szCs w:val="24"/>
        </w:rPr>
        <w:t>млрд</w:t>
      </w:r>
      <w:proofErr w:type="gramEnd"/>
      <w:r w:rsidRPr="00875B43">
        <w:rPr>
          <w:rFonts w:asciiTheme="majorBidi" w:hAnsiTheme="majorBidi" w:cstheme="majorBidi"/>
          <w:sz w:val="24"/>
          <w:szCs w:val="24"/>
        </w:rPr>
        <w:t xml:space="preserve"> марокканских дирхамов частных инвестиций и сформировало потенциал для создания примерно 6 тысяч прямых рабочих мест в регионах. Активная выдача новых разрешений на поисково-оценочные работы свидетельствует о растущем доверии бизнеса.</w:t>
      </w:r>
      <w:r w:rsidR="00E67084">
        <w:rPr>
          <w:rFonts w:asciiTheme="majorBidi" w:hAnsiTheme="majorBidi" w:cstheme="majorBidi"/>
          <w:sz w:val="24"/>
          <w:szCs w:val="24"/>
        </w:rPr>
        <w:t xml:space="preserve"> [4</w:t>
      </w:r>
      <w:r w:rsidR="00E67084" w:rsidRPr="008C0A26">
        <w:rPr>
          <w:rFonts w:asciiTheme="majorBidi" w:hAnsiTheme="majorBidi" w:cstheme="majorBidi"/>
          <w:sz w:val="24"/>
          <w:szCs w:val="24"/>
        </w:rPr>
        <w:t>]</w:t>
      </w:r>
    </w:p>
    <w:p w:rsidR="00821233" w:rsidRDefault="00AD276E" w:rsidP="00E67084">
      <w:pPr>
        <w:jc w:val="both"/>
        <w:rPr>
          <w:rFonts w:asciiTheme="majorBidi" w:hAnsiTheme="majorBidi" w:cstheme="majorBidi"/>
          <w:sz w:val="24"/>
          <w:szCs w:val="24"/>
        </w:rPr>
      </w:pPr>
      <w:r w:rsidRPr="00875B43">
        <w:rPr>
          <w:rFonts w:asciiTheme="majorBidi" w:hAnsiTheme="majorBidi" w:cstheme="majorBidi"/>
          <w:sz w:val="24"/>
          <w:szCs w:val="24"/>
        </w:rPr>
        <w:t xml:space="preserve">Таким образом, горнодобывающая промышленность Марокко прошла путь от колониального наследия к созданию современной, институционально зрелой системы. Проводимые реформы заложили прочную основу и позволили привлечь первые крупные инвестиции. Однако ответ на вопрос, обеспечит ли </w:t>
      </w:r>
      <w:r w:rsidR="00E67084">
        <w:rPr>
          <w:rFonts w:asciiTheme="majorBidi" w:hAnsiTheme="majorBidi" w:cstheme="majorBidi"/>
          <w:sz w:val="24"/>
          <w:szCs w:val="24"/>
        </w:rPr>
        <w:t>горнодобывающий сектор</w:t>
      </w:r>
      <w:r w:rsidRPr="00875B43">
        <w:rPr>
          <w:rFonts w:asciiTheme="majorBidi" w:hAnsiTheme="majorBidi" w:cstheme="majorBidi"/>
          <w:sz w:val="24"/>
          <w:szCs w:val="24"/>
        </w:rPr>
        <w:t xml:space="preserve"> развитие страны, зависит от успешности следующего, наиболее сложного этапа трансформации: превращения богатой ресурсной базы и благоприятного инвестиционного климата в реальный технологический и индустриальный суверенитет, </w:t>
      </w:r>
      <w:proofErr w:type="gramStart"/>
      <w:r w:rsidRPr="00875B43">
        <w:rPr>
          <w:rFonts w:asciiTheme="majorBidi" w:hAnsiTheme="majorBidi" w:cstheme="majorBidi"/>
          <w:sz w:val="24"/>
          <w:szCs w:val="24"/>
        </w:rPr>
        <w:t>с</w:t>
      </w:r>
      <w:proofErr w:type="gramEnd"/>
      <w:r w:rsidRPr="00875B43">
        <w:rPr>
          <w:rFonts w:asciiTheme="majorBidi" w:hAnsiTheme="majorBidi" w:cstheme="majorBidi"/>
          <w:sz w:val="24"/>
          <w:szCs w:val="24"/>
        </w:rPr>
        <w:t xml:space="preserve"> справедливым распределением благ и минимальными экологическими издержками. Марокко находится на правильном, но долгом пути, и решающие преобразования еще впереди.</w:t>
      </w:r>
    </w:p>
    <w:p w:rsidR="008C0A26" w:rsidRPr="002D470B" w:rsidRDefault="008C0A26" w:rsidP="002D470B">
      <w:pPr>
        <w:pStyle w:val="a6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D470B">
        <w:rPr>
          <w:rFonts w:asciiTheme="majorBidi" w:hAnsiTheme="majorBidi" w:cstheme="majorBidi"/>
          <w:sz w:val="24"/>
          <w:szCs w:val="24"/>
          <w:lang w:val="en-US"/>
        </w:rPr>
        <w:t>Taib</w:t>
      </w:r>
      <w:proofErr w:type="spellEnd"/>
      <w:r w:rsidRPr="002D470B">
        <w:rPr>
          <w:rFonts w:asciiTheme="majorBidi" w:hAnsiTheme="majorBidi" w:cstheme="majorBidi"/>
          <w:sz w:val="24"/>
          <w:szCs w:val="24"/>
          <w:lang w:val="en-US"/>
        </w:rPr>
        <w:t xml:space="preserve"> M. The Mineral Industries of Morocco and Western Sahara // 2020-2021 Minerals Yearbook U.S. Geological Survey. 2021. URL: </w:t>
      </w:r>
      <w:hyperlink r:id="rId6" w:history="1">
        <w:r w:rsidRPr="002D470B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https://www.researchgate.net/publication/351696298</w:t>
        </w:r>
      </w:hyperlink>
    </w:p>
    <w:p w:rsidR="008C0A26" w:rsidRPr="002D470B" w:rsidRDefault="008C0A26" w:rsidP="002D470B">
      <w:pPr>
        <w:pStyle w:val="a6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D470B">
        <w:rPr>
          <w:rFonts w:asciiTheme="majorBidi" w:hAnsiTheme="majorBidi" w:cstheme="majorBidi"/>
          <w:sz w:val="24"/>
          <w:szCs w:val="24"/>
          <w:lang w:val="en-US"/>
        </w:rPr>
        <w:t>Taib</w:t>
      </w:r>
      <w:proofErr w:type="spellEnd"/>
      <w:r w:rsidRPr="002D470B">
        <w:rPr>
          <w:rFonts w:asciiTheme="majorBidi" w:hAnsiTheme="majorBidi" w:cstheme="majorBidi"/>
          <w:sz w:val="24"/>
          <w:szCs w:val="24"/>
          <w:lang w:val="en-US"/>
        </w:rPr>
        <w:t xml:space="preserve"> M. The Mineral Industries of Morocco and Western Sahara // 2020-2021 Minerals Yearbook U.S. Geological Survey. 2021. URL: </w:t>
      </w:r>
      <w:hyperlink r:id="rId7" w:history="1">
        <w:r w:rsidRPr="002D470B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https://www.researchgate.net/publication/351696298</w:t>
        </w:r>
      </w:hyperlink>
    </w:p>
    <w:p w:rsidR="008C0A26" w:rsidRPr="002D470B" w:rsidRDefault="008C0A26" w:rsidP="002D470B">
      <w:pPr>
        <w:pStyle w:val="a6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470B">
        <w:rPr>
          <w:rFonts w:asciiTheme="majorBidi" w:hAnsiTheme="majorBidi" w:cstheme="majorBidi"/>
          <w:sz w:val="24"/>
          <w:szCs w:val="24"/>
          <w:lang w:val="en-US"/>
        </w:rPr>
        <w:t xml:space="preserve">Morocco: GDP distribution across economic sectors 2024 // </w:t>
      </w:r>
      <w:proofErr w:type="spellStart"/>
      <w:r w:rsidRPr="002D470B">
        <w:rPr>
          <w:rFonts w:asciiTheme="majorBidi" w:hAnsiTheme="majorBidi" w:cstheme="majorBidi"/>
          <w:sz w:val="24"/>
          <w:szCs w:val="24"/>
          <w:lang w:val="en-US"/>
        </w:rPr>
        <w:t>Statista</w:t>
      </w:r>
      <w:proofErr w:type="spellEnd"/>
      <w:r w:rsidRPr="002D470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D470B">
        <w:rPr>
          <w:rFonts w:asciiTheme="majorBidi" w:hAnsiTheme="majorBidi" w:cstheme="majorBidi"/>
          <w:sz w:val="24"/>
          <w:szCs w:val="24"/>
        </w:rPr>
        <w:t>2024. URL: https://www.statista.com/statistics/502771/morocco-gdp-distribution-across-economic-sectors/ (дата обращения: 01.12.2025).</w:t>
      </w:r>
    </w:p>
    <w:p w:rsidR="00E67084" w:rsidRPr="00B273E8" w:rsidRDefault="00E67084" w:rsidP="002D470B">
      <w:pPr>
        <w:pStyle w:val="a5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273E8">
        <w:rPr>
          <w:rFonts w:asciiTheme="majorBidi" w:hAnsiTheme="majorBidi" w:cstheme="majorBidi"/>
          <w:sz w:val="24"/>
          <w:szCs w:val="24"/>
        </w:rPr>
        <w:t xml:space="preserve">Смелая горнодобывающая реформа Марокко: раскопки будущего за пределами фосфатов // </w:t>
      </w:r>
      <w:proofErr w:type="spellStart"/>
      <w:r w:rsidRPr="00B273E8">
        <w:rPr>
          <w:rFonts w:asciiTheme="majorBidi" w:hAnsiTheme="majorBidi" w:cstheme="majorBidi"/>
          <w:sz w:val="24"/>
          <w:szCs w:val="24"/>
        </w:rPr>
        <w:t>Serrari</w:t>
      </w:r>
      <w:proofErr w:type="spellEnd"/>
      <w:r w:rsidRPr="00B273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273E8">
        <w:rPr>
          <w:rFonts w:asciiTheme="majorBidi" w:hAnsiTheme="majorBidi" w:cstheme="majorBidi"/>
          <w:sz w:val="24"/>
          <w:szCs w:val="24"/>
        </w:rPr>
        <w:t>Group</w:t>
      </w:r>
      <w:proofErr w:type="spellEnd"/>
      <w:r w:rsidRPr="00B273E8">
        <w:rPr>
          <w:rFonts w:asciiTheme="majorBidi" w:hAnsiTheme="majorBidi" w:cstheme="majorBidi"/>
          <w:sz w:val="24"/>
          <w:szCs w:val="24"/>
        </w:rPr>
        <w:t>. 2025. URL: https://serrarigroup.com/moroccos-bold-mining-reform-unearthing-a-future-beyond-phosphates/ (дата обращения: 01.12.2025).</w:t>
      </w:r>
    </w:p>
    <w:p w:rsidR="008C0A26" w:rsidRPr="00875B43" w:rsidRDefault="008C0A26" w:rsidP="00875B4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5432C" w:rsidRDefault="0045432C" w:rsidP="00402487">
      <w:pPr>
        <w:jc w:val="both"/>
      </w:pPr>
    </w:p>
    <w:sectPr w:rsidR="0045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52F50"/>
    <w:multiLevelType w:val="hybridMultilevel"/>
    <w:tmpl w:val="ACDA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6E"/>
    <w:rsid w:val="002D470B"/>
    <w:rsid w:val="00402487"/>
    <w:rsid w:val="0045432C"/>
    <w:rsid w:val="00577D4B"/>
    <w:rsid w:val="00821233"/>
    <w:rsid w:val="00875B43"/>
    <w:rsid w:val="008C0A26"/>
    <w:rsid w:val="00AD276E"/>
    <w:rsid w:val="00B74D9F"/>
    <w:rsid w:val="00E6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841,bqiaagaaeyqcaaagiaiaaamohgaabrweaaaaaaaaaaaaaaaaaaaaaaaaaaaaaaaaaaaaaaaaaaaaaaaaaaaaaaaaaaaaaaaaaaaaaaaaaaaaaaaaaaaaaaaaaaaaaaaaaaaaaaaaaaaaaaaaaaaaaaaaaaaaaaaaaaaaaaaaaaaaaaaaaaaaaaaaaaaaaaaaaaaaaaaaaaaaaaaaaaaaaaaaaaaaaaaaaaaaaaaa"/>
    <w:basedOn w:val="a"/>
    <w:rsid w:val="0040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0A26"/>
    <w:rPr>
      <w:color w:val="0000FF" w:themeColor="hyperlink"/>
      <w:u w:val="single"/>
    </w:rPr>
  </w:style>
  <w:style w:type="paragraph" w:styleId="a5">
    <w:name w:val="No Spacing"/>
    <w:uiPriority w:val="1"/>
    <w:qFormat/>
    <w:rsid w:val="00E6708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D4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841,bqiaagaaeyqcaaagiaiaaamohgaabrweaaaaaaaaaaaaaaaaaaaaaaaaaaaaaaaaaaaaaaaaaaaaaaaaaaaaaaaaaaaaaaaaaaaaaaaaaaaaaaaaaaaaaaaaaaaaaaaaaaaaaaaaaaaaaaaaaaaaaaaaaaaaaaaaaaaaaaaaaaaaaaaaaaaaaaaaaaaaaaaaaaaaaaaaaaaaaaaaaaaaaaaaaaaaaaaaaaaaaaaa"/>
    <w:basedOn w:val="a"/>
    <w:rsid w:val="0040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0A26"/>
    <w:rPr>
      <w:color w:val="0000FF" w:themeColor="hyperlink"/>
      <w:u w:val="single"/>
    </w:rPr>
  </w:style>
  <w:style w:type="paragraph" w:styleId="a5">
    <w:name w:val="No Spacing"/>
    <w:uiPriority w:val="1"/>
    <w:qFormat/>
    <w:rsid w:val="00E6708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D4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esearchgate.net/publication/3516962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516962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Olgal</dc:creator>
  <cp:lastModifiedBy>Olgal</cp:lastModifiedBy>
  <cp:revision>9</cp:revision>
  <dcterms:created xsi:type="dcterms:W3CDTF">2026-02-24T12:16:00Z</dcterms:created>
  <dcterms:modified xsi:type="dcterms:W3CDTF">2026-02-27T12:22:00Z</dcterms:modified>
</cp:coreProperties>
</file>