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47A" w:rsidRPr="006E0016" w:rsidRDefault="0072247A" w:rsidP="006E0016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6E0016">
        <w:rPr>
          <w:b/>
          <w:bCs/>
        </w:rPr>
        <w:t>«Накопление финансовой хрупкости в экономике КНР»</w:t>
      </w:r>
    </w:p>
    <w:p w:rsidR="006E0016" w:rsidRDefault="0072247A" w:rsidP="006E0016">
      <w:pPr>
        <w:pStyle w:val="pt-2"/>
        <w:spacing w:before="0" w:beforeAutospacing="0" w:after="0" w:afterAutospacing="0"/>
        <w:jc w:val="center"/>
        <w:rPr>
          <w:i/>
          <w:iCs/>
        </w:rPr>
      </w:pPr>
      <w:r w:rsidRPr="006E0016">
        <w:rPr>
          <w:i/>
          <w:iCs/>
        </w:rPr>
        <w:t>Кузнецов Е</w:t>
      </w:r>
      <w:r w:rsidR="0098795D">
        <w:rPr>
          <w:i/>
          <w:iCs/>
        </w:rPr>
        <w:t>.</w:t>
      </w:r>
      <w:r w:rsidRPr="006E0016">
        <w:rPr>
          <w:i/>
          <w:iCs/>
        </w:rPr>
        <w:t>К</w:t>
      </w:r>
      <w:r w:rsidR="0098795D">
        <w:rPr>
          <w:i/>
          <w:iCs/>
        </w:rPr>
        <w:t>.</w:t>
      </w:r>
      <w:r w:rsidRPr="006E0016">
        <w:rPr>
          <w:i/>
          <w:iCs/>
        </w:rPr>
        <w:t xml:space="preserve"> </w:t>
      </w:r>
    </w:p>
    <w:p w:rsidR="006E0016" w:rsidRDefault="006E0016" w:rsidP="006E0016">
      <w:pPr>
        <w:pStyle w:val="pt-2"/>
        <w:spacing w:before="0" w:beforeAutospacing="0" w:after="0" w:afterAutospacing="0"/>
        <w:jc w:val="center"/>
        <w:rPr>
          <w:i/>
          <w:iCs/>
        </w:rPr>
      </w:pPr>
      <w:r>
        <w:rPr>
          <w:i/>
          <w:iCs/>
        </w:rPr>
        <w:t>С</w:t>
      </w:r>
      <w:r w:rsidR="0072247A" w:rsidRPr="006E0016">
        <w:rPr>
          <w:i/>
          <w:iCs/>
        </w:rPr>
        <w:t>тудент</w:t>
      </w:r>
    </w:p>
    <w:p w:rsidR="0072247A" w:rsidRPr="006E0016" w:rsidRDefault="006E0016" w:rsidP="006E00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Петербургский кампус Национального исследовательского университета «Высшая школа экономики» (НИУ ВШЭ — Санкт-Петербург), Институт востоковедения и африканистики, Санкт-Петербург, Россия</w:t>
      </w:r>
      <w:r w:rsidR="0072247A" w:rsidRPr="006E0016">
        <w:rPr>
          <w:i/>
          <w:iCs/>
        </w:rPr>
        <w:br/>
      </w:r>
      <w:r w:rsidR="0072247A" w:rsidRPr="006E0016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="0072247A" w:rsidRPr="006E0016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="0072247A" w:rsidRPr="006E001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tgtFrame="_blank" w:tooltip="mailto:zhenia.kuznetsov2015@ya.ru" w:history="1">
        <w:r w:rsidR="0072247A" w:rsidRPr="006E001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zhenia.kuznetsov2015@ya.ru</w:t>
        </w:r>
      </w:hyperlink>
    </w:p>
    <w:p w:rsidR="0072247A" w:rsidRDefault="0072247A" w:rsidP="006E0016">
      <w:pPr>
        <w:pStyle w:val="pt-2"/>
        <w:spacing w:before="0" w:beforeAutospacing="0" w:after="0" w:afterAutospacing="0"/>
        <w:ind w:firstLine="567"/>
      </w:pPr>
      <w:r>
        <w:t>Китайская Народная Республика (КНР) — один из центров мировой экономики, промышленности и инноваций, страна, занимающая второе место в мире по ВВП. Учитывая такое значение экономики Китая в рамках глобального мира, тяжелый финансовый кризис — или череда таковых — в экономике Китая может стать тяжелым ударом для всей мировой экономической системы.</w:t>
      </w:r>
    </w:p>
    <w:p w:rsidR="0072247A" w:rsidRDefault="0072247A" w:rsidP="006E0016">
      <w:pPr>
        <w:pStyle w:val="pt-2"/>
        <w:spacing w:before="0" w:beforeAutospacing="0" w:after="0" w:afterAutospacing="0"/>
        <w:ind w:firstLine="567"/>
      </w:pPr>
      <w:r>
        <w:t>С начала 2010-х гг. в китайской экономике нарастает ряд тревожных тенденций, в числе которых снижение темпов экономического роста при двукратном по отношению к ВВП росте совокупного долга, дефолты крупных компаний, наиболее заметным из которых является кейс корпорации «</w:t>
      </w:r>
      <w:proofErr w:type="spellStart"/>
      <w:r>
        <w:t>Evergrande</w:t>
      </w:r>
      <w:proofErr w:type="spellEnd"/>
      <w:r>
        <w:t>». В сочетании с внешними вызовами, такими как торговые войны с США или недавняя пандемия COVID-19, риск масштабного кризиса в экономике КНР возрастает, что обуславливает актуальность темы настоящей работы как посвященной непосредственно одному из индикаторов кризисных явлений.</w:t>
      </w:r>
    </w:p>
    <w:p w:rsidR="0072247A" w:rsidRDefault="0072247A" w:rsidP="006E0016">
      <w:pPr>
        <w:pStyle w:val="pt-2"/>
        <w:spacing w:before="0" w:beforeAutospacing="0" w:after="0" w:afterAutospacing="0"/>
        <w:ind w:firstLine="567"/>
      </w:pPr>
      <w:r>
        <w:t xml:space="preserve">Несмотря на то что любой кризис — это «черный лебедь» в том смысле, что момент его начала и конца, а также его масштаб оценить в полной мере невозможно, существует ряд концепций, рассматривающих природу финансовых кризисов. Одна из наиболее заметных концепций такого рода — получившая особое распространение в период Великой рецессии 2008–2013 гг. гипотеза финансовой хрупкости, предложенная американским экономистом Х. </w:t>
      </w:r>
      <w:proofErr w:type="spellStart"/>
      <w:r>
        <w:t>Мински</w:t>
      </w:r>
      <w:proofErr w:type="spellEnd"/>
      <w:r>
        <w:t>.</w:t>
      </w:r>
    </w:p>
    <w:p w:rsidR="0072247A" w:rsidRDefault="0072247A" w:rsidP="006E0016">
      <w:pPr>
        <w:pStyle w:val="pt-2"/>
        <w:spacing w:before="0" w:beforeAutospacing="0" w:after="0" w:afterAutospacing="0"/>
        <w:ind w:firstLine="567"/>
      </w:pPr>
      <w:r>
        <w:t xml:space="preserve">Согласно этой гипотезе, зарождение кризиса происходит внутри финансовой системы — конкретнее, в системе долговых отношений ее субъектов. С точки зрения </w:t>
      </w:r>
      <w:proofErr w:type="spellStart"/>
      <w:r>
        <w:t>Мински</w:t>
      </w:r>
      <w:proofErr w:type="spellEnd"/>
      <w:r>
        <w:t>, существуют три режима финансирования фирм: хеджевый, спекулятивный и «</w:t>
      </w:r>
      <w:proofErr w:type="spellStart"/>
      <w:r>
        <w:t>Понци</w:t>
      </w:r>
      <w:proofErr w:type="spellEnd"/>
      <w:r>
        <w:t>-режим». При хеджевом режиме собственных средств фирмы хватает для покрытия ее долговых обязательств. При переходе к спекулятивному режиму собственных средств фирмы достаточно для обслуживания процентов по долгу, но недостаточно для погашения тела долга, что заставляет фирму привлекать дополнительные заемные средства для покрытия имеющихся обязательств. В «</w:t>
      </w:r>
      <w:proofErr w:type="spellStart"/>
      <w:r>
        <w:t>Понци</w:t>
      </w:r>
      <w:proofErr w:type="spellEnd"/>
      <w:r>
        <w:t>-режим» фирма переходит в случае повышения ставок кредитования и роста издержек. В этом режиме финансирования собственных средств фирмы недостаточно ни для выплаты процентов по кредиту, ни для погашения тела долга. Для продолжения существования фирмы необходимо дальнейшее привлечение заемных средств — в противном случае компанию ждет дефолт, опасность которого для экономической системы в целом пропорциональна размерам компании. В худшем случае банкротство одной фирмы способно вызвать каскад дефолтов, подрывающих целую отрасль или всю экономическую систему.</w:t>
      </w:r>
    </w:p>
    <w:p w:rsidR="0072247A" w:rsidRDefault="0072247A" w:rsidP="006E0016">
      <w:pPr>
        <w:pStyle w:val="pt-2"/>
        <w:spacing w:before="0" w:beforeAutospacing="0" w:after="0" w:afterAutospacing="0"/>
        <w:ind w:firstLine="567"/>
      </w:pPr>
      <w:r>
        <w:t>Научная проблема настоящей работы состоит в выявлении специфики применения гипотезы финансовой хрупкости к экономике КНР, обусловленной тем, что изначальная гипотеза была разработана в процессе изучения рыночной экономики, характерной для западных стран, в то время как экономика КНР характеризуется значительной степенью участия государства на разных уровнях как регулятора и как субъекта экономических отношений.</w:t>
      </w:r>
    </w:p>
    <w:p w:rsidR="0072247A" w:rsidRDefault="0072247A" w:rsidP="006E0016">
      <w:pPr>
        <w:pStyle w:val="pt-2"/>
        <w:spacing w:before="0" w:beforeAutospacing="0" w:after="0" w:afterAutospacing="0"/>
        <w:ind w:firstLine="567"/>
      </w:pPr>
      <w:r>
        <w:t>Стоит отметить, что собственно тема накопления финансовой хрупкости в экономике КНР изучена достаточно: основные работы по теме — англоязычная публикация российского экономиста Алексея Василенко «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Fragility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: A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», работа </w:t>
      </w:r>
      <w:r w:rsidR="00B24375">
        <w:t>«</w:t>
      </w:r>
      <w:r>
        <w:t>“</w:t>
      </w:r>
      <w:proofErr w:type="spellStart"/>
      <w:r>
        <w:t>Minsky</w:t>
      </w:r>
      <w:proofErr w:type="spellEnd"/>
      <w:r>
        <w:t xml:space="preserve"> </w:t>
      </w:r>
      <w:proofErr w:type="spellStart"/>
      <w:r>
        <w:lastRenderedPageBreak/>
        <w:t>Moment</w:t>
      </w:r>
      <w:proofErr w:type="spellEnd"/>
      <w:r>
        <w:t xml:space="preserve">”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fragility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China</w:t>
      </w:r>
      <w:proofErr w:type="spellEnd"/>
      <w:r w:rsidR="00B24375">
        <w:t>»</w:t>
      </w:r>
      <w:r>
        <w:t xml:space="preserve">, опубликованная в 2015 году в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, и работа китайских исследователей </w:t>
      </w:r>
      <w:proofErr w:type="spellStart"/>
      <w:r>
        <w:t>Сяо</w:t>
      </w:r>
      <w:proofErr w:type="spellEnd"/>
      <w:r>
        <w:t xml:space="preserve"> </w:t>
      </w:r>
      <w:proofErr w:type="spellStart"/>
      <w:r>
        <w:t>Сяохуа</w:t>
      </w:r>
      <w:proofErr w:type="spellEnd"/>
      <w:r>
        <w:t xml:space="preserve">, </w:t>
      </w:r>
      <w:proofErr w:type="spellStart"/>
      <w:r>
        <w:t>Пэн</w:t>
      </w:r>
      <w:proofErr w:type="spellEnd"/>
      <w:r>
        <w:t xml:space="preserve"> </w:t>
      </w:r>
      <w:proofErr w:type="spellStart"/>
      <w:r>
        <w:t>Фанпин</w:t>
      </w:r>
      <w:proofErr w:type="spellEnd"/>
      <w:r>
        <w:t xml:space="preserve"> и </w:t>
      </w:r>
      <w:proofErr w:type="spellStart"/>
      <w:r>
        <w:t>Чжан</w:t>
      </w:r>
      <w:proofErr w:type="spellEnd"/>
      <w:r>
        <w:t xml:space="preserve"> Кая «Экономический долг, финансовая стабильность и циклы </w:t>
      </w:r>
      <w:proofErr w:type="spellStart"/>
      <w:r>
        <w:t>Мински</w:t>
      </w:r>
      <w:proofErr w:type="spellEnd"/>
      <w:r>
        <w:t>», опубликованная в 2018 году. Таким образом, научная новизна настоящей работы состоит в том, что это первая русскоязычная работа, посвященная накоплению финансовой хрупкости в экономике КНР.</w:t>
      </w:r>
    </w:p>
    <w:p w:rsidR="0072247A" w:rsidRDefault="0072247A" w:rsidP="006E0016">
      <w:pPr>
        <w:pStyle w:val="pt-2"/>
        <w:spacing w:before="0" w:beforeAutospacing="0" w:after="0" w:afterAutospacing="0"/>
        <w:ind w:firstLine="567"/>
      </w:pPr>
      <w:r>
        <w:t>В основе работы лежит комплексный подход, методы «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», количественного и качественного экономического анализа. Теоретическая основа работы — книга Х. </w:t>
      </w:r>
      <w:proofErr w:type="spellStart"/>
      <w:r>
        <w:t>Мински</w:t>
      </w:r>
      <w:proofErr w:type="spellEnd"/>
      <w:r>
        <w:t xml:space="preserve"> «Стабилизируя нестабильную экономику», изданная на русском языке в 2016 году.</w:t>
      </w:r>
    </w:p>
    <w:p w:rsidR="0072247A" w:rsidRDefault="0072247A" w:rsidP="006E0016">
      <w:pPr>
        <w:pStyle w:val="pt-2"/>
        <w:spacing w:before="0" w:beforeAutospacing="0" w:after="0" w:afterAutospacing="0"/>
        <w:ind w:firstLine="567"/>
      </w:pPr>
      <w:r>
        <w:t xml:space="preserve">В работе был проведен анализ финансовых показателей компаний, входящих в индекс Шанхайской биржи SSEC, с применением критериев </w:t>
      </w:r>
      <w:proofErr w:type="spellStart"/>
      <w:r>
        <w:t>Маллигана</w:t>
      </w:r>
      <w:proofErr w:type="spellEnd"/>
      <w:r>
        <w:t xml:space="preserve">, </w:t>
      </w:r>
      <w:proofErr w:type="spellStart"/>
      <w:r>
        <w:t>Дамодарана</w:t>
      </w:r>
      <w:proofErr w:type="spellEnd"/>
      <w:r>
        <w:t xml:space="preserve"> и </w:t>
      </w:r>
      <w:proofErr w:type="spellStart"/>
      <w:r>
        <w:t>Фильо</w:t>
      </w:r>
      <w:proofErr w:type="spellEnd"/>
      <w:r>
        <w:t xml:space="preserve">, позволяющих оценивать режим финансирования фирмы с точки зрения гипотезы </w:t>
      </w:r>
      <w:r w:rsidR="0082144F">
        <w:t>Мински</w:t>
      </w:r>
      <w:bookmarkStart w:id="0" w:name="_GoBack"/>
      <w:bookmarkEnd w:id="0"/>
      <w:r>
        <w:t>.</w:t>
      </w:r>
    </w:p>
    <w:p w:rsidR="0072247A" w:rsidRPr="00CA7082" w:rsidRDefault="0072247A" w:rsidP="003A5E64">
      <w:pPr>
        <w:pStyle w:val="pt-2"/>
        <w:spacing w:before="0" w:beforeAutospacing="0" w:after="0" w:afterAutospacing="0"/>
        <w:ind w:firstLine="567"/>
      </w:pPr>
      <w:r>
        <w:t>В результате исследования был сделан вывод о присутствии явления финансовой хрупкости в экономике КНР; выявлена специфика данного явления в экономике КНР, относящегося не только к компаниям частного сектора, но также и к государственным структурам, прежде всего подконтрольным государственным органам регионального уровня; сделан вывод о соотношении компаний с разным режимом финансирования и уровнем хрупкости в индексе Шанхайской биржи SSEC как выборке, представляющей компании, присутствующие в экономике КНР в целом.</w:t>
      </w:r>
    </w:p>
    <w:sectPr w:rsidR="0072247A" w:rsidRPr="00CA7082" w:rsidSect="00DE449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E79C1"/>
    <w:multiLevelType w:val="hybridMultilevel"/>
    <w:tmpl w:val="3E9A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E5D9A"/>
    <w:multiLevelType w:val="hybridMultilevel"/>
    <w:tmpl w:val="AFD0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93"/>
    <w:rsid w:val="00057330"/>
    <w:rsid w:val="00177EB3"/>
    <w:rsid w:val="00273552"/>
    <w:rsid w:val="003A5E64"/>
    <w:rsid w:val="00465592"/>
    <w:rsid w:val="0047372C"/>
    <w:rsid w:val="00492BDA"/>
    <w:rsid w:val="0054365E"/>
    <w:rsid w:val="006D0C16"/>
    <w:rsid w:val="006E0016"/>
    <w:rsid w:val="0072247A"/>
    <w:rsid w:val="00743A62"/>
    <w:rsid w:val="0075427D"/>
    <w:rsid w:val="0076332B"/>
    <w:rsid w:val="00770919"/>
    <w:rsid w:val="00800465"/>
    <w:rsid w:val="0082144F"/>
    <w:rsid w:val="00911E25"/>
    <w:rsid w:val="0098795D"/>
    <w:rsid w:val="00B24375"/>
    <w:rsid w:val="00BF6B71"/>
    <w:rsid w:val="00CA7082"/>
    <w:rsid w:val="00CF4F92"/>
    <w:rsid w:val="00D827A7"/>
    <w:rsid w:val="00DA3638"/>
    <w:rsid w:val="00DE4493"/>
    <w:rsid w:val="00E64BEB"/>
    <w:rsid w:val="00EB7204"/>
    <w:rsid w:val="00EE6BCD"/>
    <w:rsid w:val="00F03F5E"/>
    <w:rsid w:val="00F853B6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779F"/>
  <w15:chartTrackingRefBased/>
  <w15:docId w15:val="{A1EFEEFC-3A84-429B-AD74-36E82B2E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5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559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74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6">
    <w:name w:val="List Paragraph"/>
    <w:basedOn w:val="a"/>
    <w:uiPriority w:val="34"/>
    <w:qFormat/>
    <w:rsid w:val="00CA7082"/>
    <w:pPr>
      <w:ind w:left="720"/>
      <w:contextualSpacing/>
    </w:pPr>
  </w:style>
  <w:style w:type="paragraph" w:customStyle="1" w:styleId="pt-2">
    <w:name w:val="pt-2"/>
    <w:basedOn w:val="a"/>
    <w:rsid w:val="0072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enia.kuznetsov2015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2026-03-02T08:28:00Z</dcterms:created>
  <dcterms:modified xsi:type="dcterms:W3CDTF">2026-03-02T17:51:00Z</dcterms:modified>
</cp:coreProperties>
</file>