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E51A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pacing w:val="-6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6"/>
          <w:sz w:val="24"/>
          <w:szCs w:val="24"/>
          <w:lang w:val="en-US" w:eastAsia="zh-CN"/>
        </w:rPr>
        <w:t>Строительство Китайско‑монгольско‑российского экономического коридора: достижения, вызовы и перспективы углубления сотрудничества</w:t>
      </w:r>
    </w:p>
    <w:p w14:paraId="1A9230E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Ван Юймэн</w:t>
      </w:r>
    </w:p>
    <w:p w14:paraId="6989E79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спирант 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курс</w:t>
      </w:r>
      <w:bookmarkStart w:id="0" w:name="_GoBack"/>
      <w:bookmarkEnd w:id="0"/>
    </w:p>
    <w:p w14:paraId="5CD22C9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</w:t>
      </w:r>
    </w:p>
    <w:p w14:paraId="306AD6B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14:paraId="053705A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E–mail:</w:t>
      </w:r>
      <w:r>
        <w:rPr>
          <w:rFonts w:hint="default" w:ascii="Times New Roman" w:hAnsi="Times New Roman" w:cs="Times New Roman"/>
          <w:i/>
          <w:iCs/>
          <w:strike w:val="0"/>
          <w:dstrike w:val="0"/>
          <w:color w:val="auto"/>
          <w:sz w:val="24"/>
          <w:szCs w:val="24"/>
        </w:rPr>
        <w:t xml:space="preserve"> </w:t>
      </w:r>
      <w:r>
        <w:rPr>
          <w:rStyle w:val="14"/>
          <w:rFonts w:hint="default" w:ascii="Times New Roman" w:hAnsi="Times New Roman" w:cs="Times New Roman"/>
          <w:i/>
          <w:iCs/>
          <w:sz w:val="24"/>
          <w:szCs w:val="24"/>
        </w:rPr>
        <w:fldChar w:fldCharType="begin"/>
      </w:r>
      <w:r>
        <w:rPr>
          <w:rStyle w:val="14"/>
          <w:rFonts w:hint="default" w:ascii="Times New Roman" w:hAnsi="Times New Roman" w:cs="Times New Roman"/>
          <w:i/>
          <w:iCs/>
          <w:sz w:val="24"/>
          <w:szCs w:val="24"/>
        </w:rPr>
        <w:instrText xml:space="preserve"> HYPERLINK "mailto:tianqimiao@yandex.com" </w:instrText>
      </w:r>
      <w:r>
        <w:rPr>
          <w:rStyle w:val="14"/>
          <w:rFonts w:hint="default"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Style w:val="14"/>
          <w:rFonts w:hint="default" w:ascii="Times New Roman" w:hAnsi="Times New Roman" w:cs="Times New Roman"/>
          <w:i/>
          <w:iCs/>
          <w:sz w:val="24"/>
          <w:szCs w:val="24"/>
        </w:rPr>
        <w:t>tianqimiao@yandex.com</w:t>
      </w:r>
      <w:r>
        <w:rPr>
          <w:rStyle w:val="14"/>
          <w:rFonts w:hint="default" w:ascii="Times New Roman" w:hAnsi="Times New Roman" w:cs="Times New Roman"/>
          <w:i/>
          <w:iCs/>
          <w:sz w:val="24"/>
          <w:szCs w:val="24"/>
        </w:rPr>
        <w:fldChar w:fldCharType="end"/>
      </w:r>
    </w:p>
    <w:p w14:paraId="0F004CF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Китайско-монгольско-российский экономический коридор выступает как ключевой вектор северного раскрытия инициативы «Один пояс, один путь», а также важный мост, соединяющий экономические круги Восточной Азии и Европы. Формирование новой парадигмы сотрудничества в рамках коридора имеет важное практическое значение для развития интеграции Евразийского региона.</w:t>
      </w:r>
    </w:p>
    <w:p w14:paraId="29A473C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Расширение коридора не является изолированной инициативой регионального сотрудничества, а базируется на стратегическом консенсусе и многолетнем практическом опыте трёх стран — Китая, Монголии и России. Оно опирается как на политическую поддержку на высшем государственном уровне, так и на новые возможности, открываемые глобальными экономическими и геополитическими трансформациями, одновременно совершенствуя пути развития в процессе преодоления многочисленных вызовов.</w:t>
      </w:r>
    </w:p>
    <w:p w14:paraId="17BD046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Все три страны повысили строительство коридора до уровня государственной стратегии, определили направления сотрудничества через ряд политических документов, включая «Основные положения плана по строительству Китайско-монгольско-российского экономического коридора»(утверждены в 2016 г.), и сформировали многоуровневую многостороннюю кооперативную структуру «встречи глав государств + консультации между министерствами + гражданское участие», что обеспечило прочную основу для согласования стратегий и реализации проектов.</w:t>
      </w:r>
    </w:p>
    <w:p w14:paraId="2E3B598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С другой стороны, в настоящее время глобальная структура глубоко трансформируется: структурные изменения в западной гегемонической системе и влияние унилатерализма побудили страны Евразии стремиться к более тесному региональному сотрудничеству. Общие интересы трёх стран в противодействии внешним экономическим и геополитическим рискам, таким как волатильность глобальных рынков и санкционное давление, стали внутренней движущей силой для углубления развития коридора. Инновационные практики приграничных регионов северо-востока и северо-запада Китая, а также приграничных территорий Монголии и России — от совместного строительства пунктов пропуска до создания трансграничных экономических зон — позволили успешно реализовать государственную стратегию на местном уровне, стимулируя развитие региональной инфраструктуры, торговли и инвестиций.</w:t>
      </w:r>
    </w:p>
    <w:p w14:paraId="190BA83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Помимо этого, исторический опыт культурного обмена между тремя странами, а также взаимодополнение интересов в таких отраслях, как энергетика и сельское хозяйство, дополнительно укрепили социальную основу взаимопонимания между народами и слияния интересов, вложив устойчивую движущую силу в формирование сообщества.</w:t>
      </w:r>
    </w:p>
    <w:p w14:paraId="4F9B04F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В то же время строительство коридора все еще сталкивается с реальными вызовами: геополитическим вмешательством, отсталым инфраструктурным развитием отдельных регионов, несовершенством согласования институтов и недостатком взаимного доверия между гражданами.</w:t>
      </w:r>
    </w:p>
    <w:p w14:paraId="7D9DF89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Для решения этих проблем необходимо укрепить многостороннюю координацию для формирования консенсуса, увеличить инвестиции в инфраструктуру для устранения пробелов, углубить согласование институтов и культурный обмен для преодоления разрывов, способствуя дальнейшему углублению сотрудничества. Новая парадигма сотрудничества в рамках Китайско‑монгольско‑российского экономического коридора, характеризующаяся многоуровневой координацией, опорой на приграничное взаимодействие и гибкими институциональными механизмами, соответствует как интересам развития трёх стран, так и современным тенденциям глобального многостороннего сотрудничества. В будущем она будет продолжать предоставлять ценный практический опыт для процесса региональной экономической интеграции и трансформации глобального управления.</w:t>
      </w:r>
    </w:p>
    <w:p w14:paraId="4F2AB49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</w:pPr>
    </w:p>
    <w:p w14:paraId="376A928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  <w:t>Литература</w:t>
      </w:r>
    </w:p>
    <w:p w14:paraId="691E863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[1] Чжан Цюнь. Строительство китайско‑монгольско‑российского экономического коридора: прогресс, движущие силы и перспективы / Чжан Цюнь // Исследования экономики Северо‑Восточной Азии. — 2024. — № 6. — С. 29–41.</w:t>
      </w:r>
    </w:p>
    <w:p w14:paraId="5AFBC78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[2] Ци Цзиньюй. История, современное состояние и перспективы: исследования отечественных учёных о строительстве и развитии китайско‑монгольско‑российского экономического коридора / Ци Цзиньюй, Сунь Сяочэнь // Вестник Цинхайского университета национальностей. — 2022. — № 3. — С. 85–94.</w:t>
      </w:r>
    </w:p>
    <w:p w14:paraId="1EAD0F8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[3] Скорая Мария (玛丽娅 / Maria Skoraya). Анализ экономического состояния и перспектив развития приграничных районов за Байкалом в рамках китайско‑монгольско‑российского экономического коридора : дис. … канд. экон. наук / Скорая Мария. — Харбин : Харбинский политехнический университет, 2020.</w:t>
      </w:r>
    </w:p>
    <w:p w14:paraId="18F50D4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[4] Чжан Сюцзе. Исследование строительства китайско‑монгольско‑российского экономического коридора в контексте регионального экономического сотрудничества в Северо‑Восточной Азии / Чжан Сюцзе // Учёба и исследования. — 2015. — № 6. — С. 105–108.</w:t>
      </w:r>
    </w:p>
    <w:p w14:paraId="747FCA0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[5] Чжан Сюэчи. Достижения в строительстве китайско‑монгольско‑российского экономического коридора и перспективы развития / Чжан Сюэчи, Чжао Синьмяо // Китайская транспортная газета. — 2024. — № 12. — С. 37–41.</w:t>
      </w:r>
    </w:p>
    <w:p w14:paraId="196BB47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[6] Лун Чанхай. Пути преодоления кризиса доверия: неформальное институциональное обеспечение и мягкое правовое сотрудничество в строительстве китайско‑монгольско‑российского экономического коридора / Лун Чанхай // Журнал «Цюши». — 2019. — № 4. — С. 90–102.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D0946"/>
    <w:rsid w:val="04A05430"/>
    <w:rsid w:val="07947302"/>
    <w:rsid w:val="08D92DCC"/>
    <w:rsid w:val="2C194F73"/>
    <w:rsid w:val="3CB939B6"/>
    <w:rsid w:val="3F1D66A3"/>
    <w:rsid w:val="3FEC242D"/>
    <w:rsid w:val="40B62F41"/>
    <w:rsid w:val="4539722B"/>
    <w:rsid w:val="45782B10"/>
    <w:rsid w:val="4B7B0767"/>
    <w:rsid w:val="528501C0"/>
    <w:rsid w:val="5AA906D2"/>
    <w:rsid w:val="603619EF"/>
    <w:rsid w:val="67E2677C"/>
    <w:rsid w:val="6AB44D2A"/>
    <w:rsid w:val="7E8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论文正文"/>
    <w:link w:val="14"/>
    <w:autoRedefine/>
    <w:qFormat/>
    <w:uiPriority w:val="0"/>
    <w:pPr>
      <w:spacing w:line="360" w:lineRule="auto"/>
      <w:ind w:firstLine="709"/>
      <w:jc w:val="both"/>
    </w:pPr>
    <w:rPr>
      <w:rFonts w:ascii="Times New Roman" w:hAnsi="Times New Roman" w:eastAsia="Times New Roman" w:cstheme="minorBidi"/>
      <w:sz w:val="28"/>
      <w:szCs w:val="28"/>
      <w:lang w:val="ru-RU" w:eastAsia="ru-RU" w:bidi="ar-SA"/>
    </w:rPr>
  </w:style>
  <w:style w:type="paragraph" w:customStyle="1" w:styleId="9">
    <w:name w:val="论文标题1"/>
    <w:next w:val="8"/>
    <w:link w:val="13"/>
    <w:autoRedefine/>
    <w:qFormat/>
    <w:uiPriority w:val="0"/>
    <w:pPr>
      <w:bidi/>
      <w:spacing w:line="360" w:lineRule="auto"/>
      <w:ind w:firstLine="0"/>
      <w:jc w:val="center"/>
      <w:outlineLvl w:val="0"/>
    </w:pPr>
    <w:rPr>
      <w:rFonts w:hint="eastAsia" w:ascii="Times New Roman" w:hAnsi="Times New Roman" w:eastAsia="Times New Roman" w:cstheme="minorBidi"/>
      <w:b/>
      <w:bCs/>
      <w:sz w:val="28"/>
      <w:szCs w:val="28"/>
      <w:lang w:val="ru-RU" w:eastAsia="ru-RU" w:bidi="ar-SA"/>
    </w:rPr>
  </w:style>
  <w:style w:type="paragraph" w:customStyle="1" w:styleId="10">
    <w:name w:val="论文标题2"/>
    <w:next w:val="8"/>
    <w:autoRedefine/>
    <w:qFormat/>
    <w:uiPriority w:val="0"/>
    <w:pPr>
      <w:spacing w:line="360" w:lineRule="auto"/>
      <w:ind w:firstLine="709"/>
      <w:jc w:val="both"/>
      <w:outlineLvl w:val="1"/>
    </w:pPr>
    <w:rPr>
      <w:rFonts w:hint="eastAsia" w:ascii="Times New Roman" w:hAnsi="Times New Roman" w:eastAsia="Times New Roman" w:cstheme="minorBidi"/>
      <w:b/>
      <w:sz w:val="28"/>
      <w:szCs w:val="28"/>
      <w:lang w:val="ru-RU" w:eastAsia="ru-RU" w:bidi="ar-SA"/>
    </w:rPr>
  </w:style>
  <w:style w:type="paragraph" w:customStyle="1" w:styleId="11">
    <w:name w:val="论文标题3"/>
    <w:next w:val="8"/>
    <w:autoRedefine/>
    <w:qFormat/>
    <w:uiPriority w:val="0"/>
    <w:pPr>
      <w:spacing w:line="360" w:lineRule="auto"/>
      <w:ind w:firstLine="709"/>
      <w:jc w:val="both"/>
      <w:outlineLvl w:val="2"/>
    </w:pPr>
    <w:rPr>
      <w:rFonts w:hint="eastAsia" w:ascii="Times New Roman" w:hAnsi="Times New Roman" w:eastAsia="Times New Roman" w:cstheme="minorBidi"/>
      <w:b/>
      <w:i/>
      <w:sz w:val="28"/>
      <w:szCs w:val="28"/>
      <w:lang w:val="ru-RU" w:eastAsia="ru-RU" w:bidi="ar-SA"/>
    </w:rPr>
  </w:style>
  <w:style w:type="paragraph" w:customStyle="1" w:styleId="12">
    <w:name w:val="论文脚注"/>
    <w:basedOn w:val="8"/>
    <w:autoRedefine/>
    <w:qFormat/>
    <w:uiPriority w:val="0"/>
    <w:pPr>
      <w:snapToGrid w:val="0"/>
      <w:spacing w:line="240" w:lineRule="auto"/>
      <w:jc w:val="left"/>
    </w:pPr>
    <w:rPr>
      <w:rFonts w:cs="Times New Roman"/>
      <w:sz w:val="24"/>
      <w:szCs w:val="24"/>
    </w:rPr>
  </w:style>
  <w:style w:type="character" w:customStyle="1" w:styleId="13">
    <w:name w:val="论文标题1 Char"/>
    <w:link w:val="9"/>
    <w:qFormat/>
    <w:uiPriority w:val="0"/>
    <w:rPr>
      <w:rFonts w:hint="eastAsia" w:ascii="Times New Roman" w:hAnsi="Times New Roman" w:eastAsia="Times New Roman" w:cstheme="minorBidi"/>
      <w:b/>
      <w:bCs/>
      <w:sz w:val="28"/>
      <w:szCs w:val="28"/>
      <w:lang w:val="ru-RU" w:eastAsia="ru-RU" w:bidi="ar-SA"/>
    </w:rPr>
  </w:style>
  <w:style w:type="character" w:customStyle="1" w:styleId="14">
    <w:name w:val="论文正文 Char"/>
    <w:link w:val="8"/>
    <w:qFormat/>
    <w:uiPriority w:val="0"/>
    <w:rPr>
      <w:rFonts w:ascii="Times New Roman" w:hAnsi="Times New Roman" w:eastAsia="Times New Roman" w:cstheme="minorBidi"/>
      <w:sz w:val="28"/>
      <w:szCs w:val="28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4452</Characters>
  <Lines>0</Lines>
  <Paragraphs>0</Paragraphs>
  <TotalTime>53</TotalTime>
  <ScaleCrop>false</ScaleCrop>
  <LinksUpToDate>false</LinksUpToDate>
  <CharactersWithSpaces>5019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2025-03-02T18:34:00Z</dcterms:created>
  <dc:creator>王雨萌</dc:creator>
  <cp:lastModifiedBy>王雨萌</cp:lastModifiedBy>
  <dcterms:modified xsi:type="dcterms:W3CDTF">2026-03-02T13:17:34Z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6F4519D4178F4D268ED70D8ABFBD8112_13</vt:lpwstr>
  </property>
  <property fmtid="{D5CDD505-2E9C-101B-9397-08002B2CF9AE}" pid="4" name="KSOTemplateDocerSaveRecord">
    <vt:lpwstr>eyJoZGlkIjoiZDAzMTI1YzYwY2JhZDA3YTM0MmE1NzJkNDkyM2RjZDAiLCJ1c2VySWQiOiIxOTg1OTQ3OSJ9</vt:lpwstr>
  </property>
</Properties>
</file>