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F199B" w:rsidRDefault="0096782C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</w:rPr>
        <w:t>Тихая роскошь против Гочао: факторы успеха лакшери брендов в Китае и Европейском Союзе</w:t>
      </w:r>
    </w:p>
    <w:p w14:paraId="00000002" w14:textId="77777777" w:rsidR="006F199B" w:rsidRDefault="00967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Полянская Ксения Андреевна</w:t>
      </w:r>
    </w:p>
    <w:p w14:paraId="00000003" w14:textId="77777777" w:rsidR="006F199B" w:rsidRDefault="00967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Студентка 4 курс бакалавриата</w:t>
      </w:r>
    </w:p>
    <w:p w14:paraId="00000004" w14:textId="77777777" w:rsidR="006F199B" w:rsidRDefault="00967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Московский государственный университет имени М.В.Ломоносова,</w:t>
      </w:r>
    </w:p>
    <w:p w14:paraId="00000005" w14:textId="77777777" w:rsidR="006F199B" w:rsidRDefault="00967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Институт стран Азии и Африки, Москва, Россия</w:t>
      </w:r>
    </w:p>
    <w:p w14:paraId="00000006" w14:textId="77777777" w:rsidR="006F199B" w:rsidRDefault="009678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E–mail: </w:t>
      </w:r>
      <w:hyperlink r:id="rId5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polyanskayakk@yandex.ru</w:t>
        </w:r>
      </w:hyperlink>
    </w:p>
    <w:p w14:paraId="00000008" w14:textId="77777777" w:rsidR="006F199B" w:rsidRDefault="006F199B" w:rsidP="000E1A9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6F199B" w:rsidRDefault="0096782C" w:rsidP="009431B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Успех любого бренда во многом зависит от выбранной маркетинговой стратегии. Стоит отметить, что продвижение лакшери товаров кардинально отличается от продвижения товаров об</w:t>
      </w:r>
      <w:r>
        <w:rPr>
          <w:rFonts w:ascii="Times New Roman" w:eastAsia="Times New Roman" w:hAnsi="Times New Roman" w:cs="Times New Roman"/>
          <w:sz w:val="24"/>
          <w:szCs w:val="24"/>
        </w:rPr>
        <w:t>щего потребления. Ключевой отличительной чертой рынка роскоши является действие обратных законов рыночного поведения, именно поэтому маркетинг в данном сегменте трансформируется из инструмента сбыта товаров в инструмент управления желанием, основанным на п</w:t>
      </w:r>
      <w:r>
        <w:rPr>
          <w:rFonts w:ascii="Times New Roman" w:eastAsia="Times New Roman" w:hAnsi="Times New Roman" w:cs="Times New Roman"/>
          <w:sz w:val="24"/>
          <w:szCs w:val="24"/>
        </w:rPr>
        <w:t>сихологии потребителей со статусом HNWI и UHNWI. Лакшери бренды адаптируют классические маркетинговые модели (4P, 7P, 4C, AIDA и т. д.) под специфику рынка, наделяя элементы моделей несколько иным смыслом. Актуальность такого подхода подтверждается динамик</w:t>
      </w:r>
      <w:r>
        <w:rPr>
          <w:rFonts w:ascii="Times New Roman" w:eastAsia="Times New Roman" w:hAnsi="Times New Roman" w:cs="Times New Roman"/>
          <w:sz w:val="24"/>
          <w:szCs w:val="24"/>
        </w:rPr>
        <w:t>ой развития рынка: мировой рынок личных предметов роскоши показывает положительный среднегодовой прирост до начала пандемии COVID-19 в 2019 году. Среднегодовой темп роста (CAGR) за период 2014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2019 гг. составил приблизительно +4,7%.</w:t>
      </w:r>
    </w:p>
    <w:p w14:paraId="0000000A" w14:textId="74E16DA1" w:rsidR="006F199B" w:rsidRDefault="0096782C" w:rsidP="009431B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Пандемия COVID-19 стала переломным моментом для мирового рынка личных предметов роскоши. В 2020 году заметно сократился объем рынка 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281 до 220 млрд евро, что составило 21% отрицательного прироста рынка [1]. Такой глубокий спад демонстрирует шоковое вли</w:t>
      </w:r>
      <w:r>
        <w:rPr>
          <w:rFonts w:ascii="Times New Roman" w:eastAsia="Times New Roman" w:hAnsi="Times New Roman" w:cs="Times New Roman"/>
          <w:sz w:val="24"/>
          <w:szCs w:val="24"/>
        </w:rPr>
        <w:t>яние пандемии на все секторы экономики, даже на традиционно «стабильные» к внешним шокам, к которым принято относить рынок личных предметов роскоши. Пандемия стимулировала структурные изменения на рынке, а также усилила диверсификацию рынков по региону. 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адиционно крупнейшими рынками роскоши являются Европейский Союз, Северная Америка, Китай и Япония. Текущее исследование ограничено изучением двух рынков 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 и Китая. Оба рынка показывают положительную динамику до начала пандемии COVID-19, однако стоит отм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етить, что размер европейского рынка во многом зависел от продаж китайским туристам на территории ЕС. По состоянию на 2019 год китайские туристы составляли 37%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tax-free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продаж в Европе, что позволяет оценить расходы китайских туристов в Европе на уровне 16</w:t>
      </w:r>
      <w:r>
        <w:rPr>
          <w:rFonts w:ascii="Times New Roman" w:eastAsia="Times New Roman" w:hAnsi="Times New Roman" w:cs="Times New Roman"/>
          <w:color w:val="0A0A0A"/>
          <w:sz w:val="24"/>
          <w:szCs w:val="24"/>
          <w:highlight w:val="white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млрд евро [3]. Положительный прирост европейского рынка во много связан с удачным выбором маркетинговых стратегий, направленных на китайского потребителя.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До пандемии COVID-19 китайские потребители являлись приоритетной аудиторией для европейских домов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роскоши</w:t>
      </w:r>
      <w:r w:rsidR="009431B6" w:rsidRPr="009431B6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В структуре выручки крупнейших европейских групп (LVMH, Kering) доля китайских покупателей достигала 30–35%, что обусловило необходимость подстраивать маркетинговые стратегии под специфику эт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ого рынка. Европейские бренды адаптировали коммуникации с потребителями (продвижение через «лидеров мнений» (</w:t>
      </w:r>
      <w:r>
        <w:rPr>
          <w:rFonts w:ascii="Times New Roman" w:eastAsia="Times New Roman" w:hAnsi="Times New Roman" w:cs="Times New Roman"/>
          <w:sz w:val="24"/>
          <w:szCs w:val="24"/>
        </w:rPr>
        <w:t>KOL)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, социальные сети), выпускали продукты с китайской культурной символикой и расширяли розничное присутствие в Китае. Положительный прирост европ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ейского рынка люкса в 2015–2019 гг. в значительной степени был связан с успешностью </w:t>
      </w:r>
      <w:r w:rsidR="00E56B78">
        <w:rPr>
          <w:rFonts w:ascii="Times New Roman" w:eastAsiaTheme="minorEastAsia" w:hAnsi="Times New Roman" w:cs="Times New Roman"/>
          <w:color w:val="0F1115"/>
          <w:sz w:val="24"/>
          <w:szCs w:val="24"/>
          <w:highlight w:val="white"/>
          <w:lang w:val="ru-RU"/>
        </w:rPr>
        <w:t>выбранных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стратегий</w:t>
      </w:r>
      <w:r>
        <w:rPr>
          <w:rFonts w:ascii="Times New Roman" w:eastAsia="Times New Roman" w:hAnsi="Times New Roman" w:cs="Times New Roman"/>
          <w:sz w:val="24"/>
          <w:szCs w:val="24"/>
        </w:rPr>
        <w:t>. Во время пандемии COVID-19, китайский рынок показал наименьший спад среди трех крупнейших рынков (-11.1% против -26.3% на европейском рынке и -23.5% на американском рынке соответственно), что также связано с возвращением спроса на внутр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енний рынок Китая [3]. В 2021 году CAGR рынка не только выходит на докризисные уровни, но и значительно обгоняет их </w:t>
      </w:r>
      <w:r>
        <w:rPr>
          <w:rFonts w:ascii="Times New Roman" w:eastAsia="Times New Roman" w:hAnsi="Times New Roman" w:cs="Times New Roman"/>
          <w:color w:val="474747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</w:rPr>
        <w:t>на 3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4% [1]. По состоянию на 2025 год размер рынка составляет 358 млрд евро, CAGR 2021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2025 гг. составил приблизительно 5,4%, что свидетел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ьствует о том, что после пандемии рынок адаптировался к новым реалиям и стабилизировался. По прогнозам консалтинговой компании Bain&amp;Co, в 2026 году рынок личных предметов роскоши составит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приблизительно 370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376 млрд евро, со среднегодовым приростом в 3</w:t>
      </w:r>
      <w:r>
        <w:rPr>
          <w:rFonts w:ascii="Times New Roman" w:eastAsia="Times New Roman" w:hAnsi="Times New Roman" w:cs="Times New Roman"/>
          <w:color w:val="0A0A0A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5%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[2]. Быстрое восстановление рынка после пандемии свидетельствует о том, что глобальный рынок роскоши достаточно зрелый, именно поэтому традиционные маркетинговые модели сохраняют свою силу и эффективность, несмотря на внешние шоки. </w:t>
      </w:r>
    </w:p>
    <w:p w14:paraId="0000000B" w14:textId="1B3DF3F6" w:rsidR="006F199B" w:rsidRDefault="0096782C" w:rsidP="009431B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Стоит отметить, что пос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ле фрагментации глобального рынка, на двух рассматриваемых региональных рынках наблюдались схожие тенденции.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Китае зародился тренд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«Гочао»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— обращение к традиционной национальной культуре, сочетание национальных элементов одежды и современного фасона. </w:t>
      </w:r>
      <w:r>
        <w:rPr>
          <w:rFonts w:ascii="Times New Roman" w:eastAsia="Times New Roman" w:hAnsi="Times New Roman" w:cs="Times New Roman"/>
          <w:sz w:val="24"/>
          <w:szCs w:val="24"/>
        </w:rPr>
        <w:t>Совокупный объем тренда в</w:t>
      </w:r>
      <w:r w:rsidR="00E56B78">
        <w:rPr>
          <w:rFonts w:ascii="Times New Roman" w:eastAsia="Times New Roman" w:hAnsi="Times New Roman" w:cs="Times New Roman"/>
          <w:sz w:val="24"/>
          <w:szCs w:val="24"/>
        </w:rPr>
        <w:t xml:space="preserve"> 2023 г. составил 278 млрд евро. В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Европе наибольшую популярность приобрел тренд «тихой роскоши» — сознательный отказ от кричащих логотипов, демонстрация статусности через сдержанность и аутентичность. Совокупный объем тренда — 131</w:t>
      </w:r>
      <w:r>
        <w:rPr>
          <w:rFonts w:ascii="Times New Roman" w:eastAsia="Times New Roman" w:hAnsi="Times New Roman" w:cs="Times New Roman"/>
          <w:sz w:val="24"/>
          <w:szCs w:val="24"/>
        </w:rPr>
        <w:t>,5 млрд евро. Схожие на первый взгляд тенденции имеют совершенно разное идейное наполнение и различную целевую аудиторию в двух регионах, что делает невозможным применение «универсальных» маркетинговых стратегий. Особенностью маркетинга в рамках китайского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тренда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Гочао</w:t>
      </w:r>
      <w:r>
        <w:rPr>
          <w:rFonts w:ascii="Times New Roman" w:eastAsia="Times New Roman" w:hAnsi="Times New Roman" w:cs="Times New Roman"/>
          <w:sz w:val="24"/>
          <w:szCs w:val="24"/>
        </w:rPr>
        <w:t>» является высокая доля онлайн-коммуникации, продвижение продукции через «лидеров мнений», а также выбор стратегий в условиях высококонкурентного рынка. Европейские бренды «тихой роскоши» выстраивают маркетинговые стратегии вокруг вневременны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категорий, включающих в себя историю бренда, его философию и ценности. </w:t>
      </w:r>
    </w:p>
    <w:p w14:paraId="0000000C" w14:textId="77777777" w:rsidR="006F199B" w:rsidRDefault="0096782C" w:rsidP="009431B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ключевых финансовых показателей европейских конгломератов роскоши (LVMH, Kering Group, Prada Group) и показателей китайских лакшери брендов (Li-Ning, Bosideng) подтверждает ги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потезу, что европейские бренды «тихой роскоши» используют классические маркетинговые модели в ведении бизнеса, в то время как китайские бренды в рамках тренда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«Гочао»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отходят от классических маркетинговых моделей и создают принципиально иные модели,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интегр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ирующие локальные культурные смыслы и специфические инструменты продвижения (KOL, live-streaming, </w:t>
      </w:r>
      <w:sdt>
        <w:sdtPr>
          <w:tag w:val="goog_rdk_0"/>
          <w:id w:val="-548703127"/>
        </w:sdtPr>
        <w:sdtEndPr/>
        <w:sdtContent/>
      </w:sdt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национальную символику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 xml:space="preserve">), не имеющие аналогов на других рынках. </w:t>
      </w:r>
      <w:r>
        <w:rPr>
          <w:rFonts w:ascii="Times New Roman" w:eastAsia="Times New Roman" w:hAnsi="Times New Roman" w:cs="Times New Roman"/>
          <w:sz w:val="24"/>
          <w:szCs w:val="24"/>
        </w:rPr>
        <w:t>В текущем исследовании автор с помощью структурного анализа финансовых показателей крупней</w:t>
      </w:r>
      <w:r>
        <w:rPr>
          <w:rFonts w:ascii="Times New Roman" w:eastAsia="Times New Roman" w:hAnsi="Times New Roman" w:cs="Times New Roman"/>
          <w:sz w:val="24"/>
          <w:szCs w:val="24"/>
        </w:rPr>
        <w:t>ших игроков на лакшери рынке Китая и ЕС выявляет факторы, влияющие на маркетинг брендов на двух рынках, а также на основе проведенного анализа предлагает регрессионную модель с учетом временных лагов.</w:t>
      </w:r>
    </w:p>
    <w:p w14:paraId="0000000E" w14:textId="77777777" w:rsidR="006F199B" w:rsidRDefault="006F199B" w:rsidP="009431B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6F199B" w:rsidRPr="000E1A9D" w:rsidRDefault="0096782C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Источники</w:t>
      </w:r>
      <w:r w:rsidRPr="000E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0E1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14:paraId="00000010" w14:textId="77777777" w:rsidR="006F199B" w:rsidRPr="000E1A9D" w:rsidRDefault="0096782C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</w:pPr>
      <w:r w:rsidRPr="000E1A9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1. 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Luxury in Transition: Securing Future Growth [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Электронный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ресурс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] : The 23rd edition of the annual Luxury Study / Bain &amp; Company, Fondazione Altagamma. — Electronic data. — [San Francisco] : Bain &amp; Company, 2025. — URL: </w:t>
      </w:r>
      <w:hyperlink r:id="rId6">
        <w:r w:rsidRPr="000E1A9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https://www.bain.com/insights/luxury-in-transition-securing-future-growth/</w:t>
        </w:r>
      </w:hyperlink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дата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обращения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: 19.02.2026).</w:t>
      </w:r>
    </w:p>
    <w:p w14:paraId="00000011" w14:textId="77777777" w:rsidR="006F199B" w:rsidRPr="000E1A9D" w:rsidRDefault="006F199B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2" w14:textId="77777777" w:rsidR="006F199B" w:rsidRPr="000E1A9D" w:rsidRDefault="0096782C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</w:pPr>
      <w:r w:rsidRPr="000E1A9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2. 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Global luxury stays resilient despite economic headwinds and shifting consumer trends that reshape market [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Электронный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ресурс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] : Press release / Bain &amp; Company, Altagamma. — Electronic data. — Milan : Bain &amp; Company, 2025. — URL: </w:t>
      </w:r>
      <w:hyperlink r:id="rId7">
        <w:r w:rsidRPr="000E1A9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https://www.bain.com/about/media-center/press-releases/20252/global-</w:t>
        </w:r>
        <w:r w:rsidRPr="000E1A9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luxury-stays-resilient-despite-economic-headwinds-and-shifting-consumer-trends-that-reshape-marketbain--company-and-altagamma/</w:t>
        </w:r>
      </w:hyperlink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дата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обращения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: 19.02.2026).</w:t>
      </w:r>
    </w:p>
    <w:p w14:paraId="00000013" w14:textId="77777777" w:rsidR="006F199B" w:rsidRPr="000E1A9D" w:rsidRDefault="006F199B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6" w14:textId="753EB94B" w:rsidR="006F199B" w:rsidRPr="009431B6" w:rsidRDefault="0096782C" w:rsidP="009431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en-US"/>
        </w:rPr>
      </w:pPr>
      <w:r w:rsidRPr="000E1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 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Ultra-High-Net-Worth Duty-Free Shoppers Surge 168% Since Pre-Pandemic, with Chinese Tourists Mak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ing Up 25% | Global Blue Report [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Электронный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ресурс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] // </w:t>
      </w:r>
      <w:hyperlink r:id="rId8">
        <w:r w:rsidRPr="000E1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LUXEPLACE – Fashion Meets Finance</w:t>
        </w:r>
      </w:hyperlink>
      <w:r w:rsidRPr="000E1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– 14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ноября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2024. – URL: </w:t>
      </w:r>
      <w:hyperlink r:id="rId9">
        <w:r w:rsidRPr="000E1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Ultra-High-Net-Worth Duty-Free Shoppers Surge 1</w:t>
        </w:r>
        <w:r w:rsidRPr="000E1A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68% Since Pre-Pandemic, with Chinese Tourists Making Up 25% | Global Blue Report – LUXEPLACE</w:t>
        </w:r>
      </w:hyperlink>
      <w:r w:rsidRPr="000E1A9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дата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4"/>
          <w:szCs w:val="24"/>
        </w:rPr>
        <w:t>обращения</w:t>
      </w:r>
      <w:r w:rsidRPr="000E1A9D"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en-US"/>
        </w:rPr>
        <w:t>: 19.02.2026).</w:t>
      </w:r>
    </w:p>
    <w:sectPr w:rsidR="006F199B" w:rsidRPr="009431B6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D65A005-B7D3-4EC4-AECF-AD9AFD5D80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D99977C-7F24-4DB0-B402-87D0369D53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08CC9CC-6ED0-4377-A55A-312B647670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9B"/>
    <w:rsid w:val="000E1A9D"/>
    <w:rsid w:val="006F199B"/>
    <w:rsid w:val="009431B6"/>
    <w:rsid w:val="0096782C"/>
    <w:rsid w:val="00E5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38548-2A95-4D47-998B-53BF1571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annotation text"/>
    <w:basedOn w:val="a"/>
    <w:link w:val="a5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C702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025D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7025D"/>
    <w:rPr>
      <w:color w:val="0000FF"/>
      <w:u w:val="single"/>
    </w:rPr>
  </w:style>
  <w:style w:type="paragraph" w:styleId="aa">
    <w:name w:val="annotation subject"/>
    <w:basedOn w:val="a4"/>
    <w:next w:val="a4"/>
    <w:link w:val="ab"/>
    <w:uiPriority w:val="99"/>
    <w:semiHidden/>
    <w:unhideWhenUsed/>
    <w:rsid w:val="00BA1A34"/>
    <w:rPr>
      <w:b/>
      <w:bCs/>
    </w:rPr>
  </w:style>
  <w:style w:type="character" w:customStyle="1" w:styleId="ab">
    <w:name w:val="Тема примечания Знак"/>
    <w:basedOn w:val="a5"/>
    <w:link w:val="aa"/>
    <w:uiPriority w:val="99"/>
    <w:semiHidden/>
    <w:rsid w:val="00BA1A34"/>
    <w:rPr>
      <w:b/>
      <w:bCs/>
      <w:sz w:val="20"/>
      <w:szCs w:val="20"/>
    </w:rPr>
  </w:style>
  <w:style w:type="paragraph" w:styleId="ac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xeplac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ain.com/about/media-center/press-releases/20252/global-luxury-stays-resilient-despite-economic-headwinds-and-shifting-consumer-trends-that-reshape-marketbain--company-and-altagamma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bain.com/insights/luxury-in-transition-securing-future-growth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polyanskayakk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uxeplace.com/post/1046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gIACbtqHhZC9Clp9ggn7F43AQ==">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2</cp:revision>
  <dcterms:created xsi:type="dcterms:W3CDTF">2026-03-02T18:19:00Z</dcterms:created>
  <dcterms:modified xsi:type="dcterms:W3CDTF">2026-03-02T18:19:00Z</dcterms:modified>
</cp:coreProperties>
</file>