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82C4DFE" w:rsidR="002928B2" w:rsidRPr="00E14A15" w:rsidRDefault="00EB1E81" w:rsidP="00046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4A1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Маржинальное кредитование и вероятность формирования пузыря на фондовом рынке Китая: сравнительный анализ маржинальных циклов 2014–2015 и 2025–2026 гг.</w:t>
      </w:r>
    </w:p>
    <w:p w14:paraId="00000002" w14:textId="12E2B660" w:rsidR="002928B2" w:rsidRPr="00E14A15" w:rsidRDefault="00F16336" w:rsidP="00046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4A15">
        <w:rPr>
          <w:rFonts w:ascii="Times New Roman" w:hAnsi="Times New Roman" w:cs="Times New Roman"/>
          <w:b/>
          <w:i/>
          <w:color w:val="000000"/>
          <w:sz w:val="24"/>
          <w:szCs w:val="24"/>
        </w:rPr>
        <w:t>Ариков</w:t>
      </w:r>
      <w:proofErr w:type="spellEnd"/>
      <w:r w:rsidRPr="00E14A1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Никита Вячеславович</w:t>
      </w:r>
    </w:p>
    <w:p w14:paraId="00000003" w14:textId="68339E69" w:rsidR="002928B2" w:rsidRPr="00E14A15" w:rsidRDefault="00F16336" w:rsidP="00046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</w:t>
      </w:r>
      <w:r w:rsidR="00F333FB"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</w:t>
      </w:r>
      <w:r w:rsidR="00D14A82"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курса </w:t>
      </w:r>
      <w:proofErr w:type="spellStart"/>
      <w:r w:rsidR="00D14A82"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proofErr w:type="spellEnd"/>
      <w:r w:rsidR="00D14A82"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000004" w14:textId="77777777" w:rsidR="002928B2" w:rsidRPr="00E14A15" w:rsidRDefault="00D14A82" w:rsidP="00046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0000005" w14:textId="77777777" w:rsidR="002928B2" w:rsidRPr="00E14A15" w:rsidRDefault="00D14A82" w:rsidP="00046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14:paraId="00000006" w14:textId="631E2233" w:rsidR="002928B2" w:rsidRPr="00E14A15" w:rsidRDefault="00D14A82" w:rsidP="00046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E14A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F16336" w:rsidRPr="00E14A15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nikitaarikovv</w:t>
      </w:r>
      <w:proofErr w:type="spellEnd"/>
      <w:r w:rsidR="00F16336" w:rsidRPr="00E14A15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@</w:t>
      </w:r>
      <w:proofErr w:type="spellStart"/>
      <w:r w:rsidR="00F16336" w:rsidRPr="00E14A15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gmail</w:t>
      </w:r>
      <w:proofErr w:type="spellEnd"/>
      <w:r w:rsidR="00F16336" w:rsidRPr="00E14A15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.</w:t>
      </w:r>
      <w:r w:rsidR="00F16336" w:rsidRPr="00E14A15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com</w:t>
      </w:r>
    </w:p>
    <w:p w14:paraId="00000007" w14:textId="77777777" w:rsidR="002928B2" w:rsidRPr="00E14A15" w:rsidRDefault="002928B2" w:rsidP="00046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D92E96" w14:textId="4EF732A0" w:rsidR="00FF7263" w:rsidRPr="00E14A15" w:rsidRDefault="00FF7263" w:rsidP="00EF1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Проблема идентификации и предотвращения ценовых пузырей остается одной из ключевых в экономической науке и практике регулирования. Фондовый рынок Китая исторически характеризуется высокой волатильностью и доминированием розничных инвесторов, что делает его особенно чувствительным к колебаниям доступности </w:t>
      </w:r>
      <w:r w:rsidR="006421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кре</w:t>
      </w:r>
      <w:r w:rsidR="00836B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дитных 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средств. В 2015 г. рынок пережил разрушительный крах, спровоцированный сворачиванием нерегулируемого маржинального кредитования. В 2025–2026 гг. объемы маржинального финансирования достигли исторических максимумов, </w:t>
      </w:r>
      <w:r w:rsidR="00E71D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превышающих пик </w:t>
      </w:r>
      <w:r w:rsidR="00297D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2015 г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160BF5" w:rsidRPr="00A85055">
        <w:rPr>
          <w:rFonts w:ascii="Times New Roman" w:eastAsia="Times New Roman" w:hAnsi="Times New Roman" w:cs="Times New Roman"/>
          <w:sz w:val="24"/>
          <w:szCs w:val="24"/>
        </w:rPr>
        <w:t>[</w:t>
      </w:r>
      <w:r w:rsidR="003C28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60BF5" w:rsidRPr="003D2C13">
        <w:rPr>
          <w:rFonts w:ascii="Times New Roman" w:eastAsia="Times New Roman" w:hAnsi="Times New Roman" w:cs="Times New Roman"/>
          <w:sz w:val="24"/>
          <w:szCs w:val="24"/>
        </w:rPr>
        <w:t>]</w:t>
      </w:r>
      <w:r w:rsidR="00160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Это возрождает дискуссию о возможности повторения сценария пузыря. Основной научной проблемой является определение того, приводит ли рост маржинального долга к автоматическому формированию пузыря, или же изменения в структуре рынка и надзоре могут нивелировать этот риск.</w:t>
      </w:r>
    </w:p>
    <w:p w14:paraId="4B8EA87B" w14:textId="306AEB24" w:rsidR="00A022C2" w:rsidRPr="00E14A15" w:rsidRDefault="00A022C2" w:rsidP="00046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Методология </w:t>
      </w:r>
      <w:r w:rsidR="00C870C8"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исследования 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основана на сравнительном институциональном </w:t>
      </w:r>
      <w:r w:rsidR="0004608E"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количественном анализах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Исследование сопоставляет ключевые параметры двух периодов: источники </w:t>
      </w:r>
      <w:r w:rsidR="0004608E"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объемы 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маржинальных средств, структуру рыночных игроков и характер регулирования.</w:t>
      </w:r>
    </w:p>
    <w:p w14:paraId="79FDE82C" w14:textId="1D9B5928" w:rsidR="00A022C2" w:rsidRPr="003A7751" w:rsidRDefault="003A7751" w:rsidP="00046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b/>
          <w:color w:val="222222"/>
          <w:sz w:val="32"/>
          <w:szCs w:val="24"/>
          <w:shd w:val="clear" w:color="auto" w:fill="FFFFFF"/>
        </w:rPr>
      </w:pPr>
      <w:r w:rsidRPr="003A7751">
        <w:rPr>
          <w:rStyle w:val="a9"/>
          <w:rFonts w:ascii="Times New Roman" w:hAnsi="Times New Roman" w:cs="Times New Roman"/>
          <w:b w:val="0"/>
          <w:color w:val="0F1115"/>
          <w:sz w:val="24"/>
          <w:shd w:val="clear" w:color="auto" w:fill="FFFFFF"/>
        </w:rPr>
        <w:t>В отличие от работ, концентрирующихся преимущественно на изолированном анализе событий 2015 г. либо на динамике совокупных объемов маржинального долга, в данном исследовании акцент смещен на интегральное сопоставление качественных характеристик маржинального финансирования двух периодов. Такой ракурс позволяет не просто констатировать сходство объемов, а провери</w:t>
      </w:r>
      <w:r>
        <w:rPr>
          <w:rStyle w:val="a9"/>
          <w:rFonts w:ascii="Times New Roman" w:hAnsi="Times New Roman" w:cs="Times New Roman"/>
          <w:b w:val="0"/>
          <w:color w:val="0F1115"/>
          <w:sz w:val="24"/>
          <w:shd w:val="clear" w:color="auto" w:fill="FFFFFF"/>
        </w:rPr>
        <w:t>ть гипотезу о том, что глубокая</w:t>
      </w:r>
      <w:r w:rsidRPr="003A7751">
        <w:rPr>
          <w:rStyle w:val="a9"/>
          <w:rFonts w:ascii="Times New Roman" w:hAnsi="Times New Roman" w:cs="Times New Roman"/>
          <w:b w:val="0"/>
          <w:color w:val="0F1115"/>
          <w:sz w:val="24"/>
          <w:shd w:val="clear" w:color="auto" w:fill="FFFFFF"/>
        </w:rPr>
        <w:t xml:space="preserve"> структурная трансформация рынка за прошедшее десятилетие могла изменить его чувствительность к шокам ликвидности.</w:t>
      </w:r>
    </w:p>
    <w:p w14:paraId="4623B471" w14:textId="640FD739" w:rsidR="00A022C2" w:rsidRPr="00E14A15" w:rsidRDefault="00C870C8" w:rsidP="00046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результате исследования было выявлено</w:t>
      </w:r>
      <w:r w:rsidR="00F062E2"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что сходство двух циклов ограничивается лишь номинальным объемом маржинального долга. Ключевые различия носят системный характер:</w:t>
      </w:r>
    </w:p>
    <w:p w14:paraId="0000000E" w14:textId="0F6D68B3" w:rsidR="002928B2" w:rsidRPr="00E14A15" w:rsidRDefault="00D17A34" w:rsidP="0004608E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A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Источники финансирования и качество плеча.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2014–2015 гг. значительную долю занимали «теневые» счета с неограниченным кредитным плечом, что многок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ратно усиливало эффект «пожарной распродажи» («</w:t>
      </w:r>
      <w:r w:rsidR="002443CA"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fire</w:t>
      </w:r>
      <w:r w:rsidR="002443CA"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443CA"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sales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355125" w:rsidRPr="00A85055">
        <w:rPr>
          <w:rFonts w:ascii="Times New Roman" w:eastAsia="Times New Roman" w:hAnsi="Times New Roman" w:cs="Times New Roman"/>
          <w:sz w:val="24"/>
          <w:szCs w:val="24"/>
        </w:rPr>
        <w:t>[</w:t>
      </w:r>
      <w:r w:rsidR="009A27A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5125" w:rsidRPr="003D2C13">
        <w:rPr>
          <w:rFonts w:ascii="Times New Roman" w:eastAsia="Times New Roman" w:hAnsi="Times New Roman" w:cs="Times New Roman"/>
          <w:sz w:val="24"/>
          <w:szCs w:val="24"/>
        </w:rPr>
        <w:t>]</w:t>
      </w:r>
      <w:r w:rsidR="00355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 2025 г., благодаря реализации «Новых п</w:t>
      </w:r>
      <w:r w:rsidR="002443CA"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равил управления активами»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зачистке теневого банкинга, нерегулируемые каналы финансирования были в значительной степени ликвидированы. Почти весь объем маржинальных займов сегодня приходится на регулируемых брокеров, что ограничивает максимальный уровень плеча и повышает прозрачность.</w:t>
      </w:r>
      <w:r w:rsidR="003551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55125" w:rsidRPr="00A85055">
        <w:rPr>
          <w:rFonts w:ascii="Times New Roman" w:eastAsia="Times New Roman" w:hAnsi="Times New Roman" w:cs="Times New Roman"/>
          <w:sz w:val="24"/>
          <w:szCs w:val="24"/>
        </w:rPr>
        <w:t>[</w:t>
      </w:r>
      <w:r w:rsidR="009A27A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55125" w:rsidRPr="003D2C13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14E668D" w14:textId="66244222" w:rsidR="002443CA" w:rsidRPr="00E14A15" w:rsidRDefault="002443CA" w:rsidP="0004608E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A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Структура инвесторов.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Если в 2015 г. рынок был полностью во власти розничных инвесторов, т</w:t>
      </w:r>
      <w:r w:rsidR="002E12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к 2025 г. доля институциональных инвесторов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свободно обра</w:t>
      </w:r>
      <w:r w:rsidR="00592B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щающейся капитализации выросла более чем в 1,5 раза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достигн</w:t>
      </w:r>
      <w:r w:rsidR="00592B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ув 46,9</w:t>
      </w:r>
      <w:r w:rsidR="007D6D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%, тогда как доля розничных инвесторов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сократилась </w:t>
      </w:r>
      <w:r w:rsidR="008A5B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примерно 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 30%. </w:t>
      </w:r>
      <w:r w:rsidR="00355125" w:rsidRPr="00A85055">
        <w:rPr>
          <w:rFonts w:ascii="Times New Roman" w:eastAsia="Times New Roman" w:hAnsi="Times New Roman" w:cs="Times New Roman"/>
          <w:sz w:val="24"/>
          <w:szCs w:val="24"/>
        </w:rPr>
        <w:t>[</w:t>
      </w:r>
      <w:r w:rsidR="003551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355125" w:rsidRPr="003D2C13">
        <w:rPr>
          <w:rFonts w:ascii="Times New Roman" w:eastAsia="Times New Roman" w:hAnsi="Times New Roman" w:cs="Times New Roman"/>
          <w:sz w:val="24"/>
          <w:szCs w:val="24"/>
        </w:rPr>
        <w:t>]</w:t>
      </w:r>
      <w:r w:rsidR="00355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Рост активов под управлением вз</w:t>
      </w:r>
      <w:r w:rsidR="004568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аимных фондов (с 2014 г. по 2015 </w:t>
      </w:r>
      <w:r w:rsidR="00577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г. они</w:t>
      </w:r>
      <w:r w:rsidR="004568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77E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увеличились в 6 раз, превысив 31 трлн юаней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создал мощный слой стабилизирующих «длинных» денег, менее склонных к паническим продажам.</w:t>
      </w:r>
      <w:r w:rsidR="003551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55125" w:rsidRPr="00A85055">
        <w:rPr>
          <w:rFonts w:ascii="Times New Roman" w:eastAsia="Times New Roman" w:hAnsi="Times New Roman" w:cs="Times New Roman"/>
          <w:sz w:val="24"/>
          <w:szCs w:val="24"/>
        </w:rPr>
        <w:t>[</w:t>
      </w:r>
      <w:r w:rsidR="009A27A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5125" w:rsidRPr="003D2C13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141CED4" w14:textId="7AE93A14" w:rsidR="00290B90" w:rsidRPr="00E14A15" w:rsidRDefault="002443CA" w:rsidP="0004608E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EF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Характер регулирования.</w:t>
      </w:r>
      <w:r w:rsidRPr="004D57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Реакция на крах 2015 г. привела к созданию системы </w:t>
      </w:r>
      <w:proofErr w:type="spellStart"/>
      <w:r w:rsidRPr="004D57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макропруденциального</w:t>
      </w:r>
      <w:proofErr w:type="spellEnd"/>
      <w:r w:rsidRPr="004D57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надзора. </w:t>
      </w:r>
      <w:r w:rsidR="004D5752" w:rsidRPr="004D57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Комиссия по регулированию </w:t>
      </w:r>
      <w:r w:rsidR="004D5752" w:rsidRPr="004D57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ценных бумаг Китая (</w:t>
      </w:r>
      <w:proofErr w:type="spellStart"/>
      <w:r w:rsidR="004D5752" w:rsidRPr="004D5752">
        <w:rPr>
          <w:rFonts w:ascii="Times New Roman" w:hAnsi="Times New Roman" w:cs="Times New Roman"/>
          <w:color w:val="222222"/>
          <w:sz w:val="24"/>
          <w:szCs w:val="24"/>
        </w:rPr>
        <w:t>China</w:t>
      </w:r>
      <w:proofErr w:type="spellEnd"/>
      <w:r w:rsidR="004D5752" w:rsidRPr="004D575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D5752" w:rsidRPr="004D5752">
        <w:rPr>
          <w:rFonts w:ascii="Times New Roman" w:hAnsi="Times New Roman" w:cs="Times New Roman"/>
          <w:color w:val="222222"/>
          <w:sz w:val="24"/>
          <w:szCs w:val="24"/>
        </w:rPr>
        <w:t>Securities</w:t>
      </w:r>
      <w:proofErr w:type="spellEnd"/>
      <w:r w:rsidR="004D5752" w:rsidRPr="004D575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D5752" w:rsidRPr="004D5752">
        <w:rPr>
          <w:rFonts w:ascii="Times New Roman" w:hAnsi="Times New Roman" w:cs="Times New Roman"/>
          <w:color w:val="222222"/>
          <w:sz w:val="24"/>
          <w:szCs w:val="24"/>
        </w:rPr>
        <w:t>Regulatory</w:t>
      </w:r>
      <w:proofErr w:type="spellEnd"/>
      <w:r w:rsidR="004D5752" w:rsidRPr="004D575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D5752" w:rsidRPr="004D5752">
        <w:rPr>
          <w:rFonts w:ascii="Times New Roman" w:hAnsi="Times New Roman" w:cs="Times New Roman"/>
          <w:color w:val="222222"/>
          <w:sz w:val="24"/>
          <w:szCs w:val="24"/>
        </w:rPr>
        <w:t>Commission</w:t>
      </w:r>
      <w:proofErr w:type="spellEnd"/>
      <w:r w:rsidR="004D5752" w:rsidRPr="004D5752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4D5752" w:rsidRPr="004D575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4D57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CSRC</w:t>
      </w:r>
      <w:r w:rsidR="004D5752" w:rsidRPr="004D57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4D57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получила инструменты для</w:t>
      </w:r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ограничения </w:t>
      </w:r>
      <w:proofErr w:type="spellStart"/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проциклического</w:t>
      </w:r>
      <w:proofErr w:type="spellEnd"/>
      <w:r w:rsidRPr="00E14A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кредитования, а опыт «национальной команды» продемонстрировал готовность государства к интервенциям, что снижает ожидания инвесторов относительно неограниченного падения.</w:t>
      </w:r>
      <w:r w:rsidR="00355125" w:rsidRPr="00355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125" w:rsidRPr="00A85055">
        <w:rPr>
          <w:rFonts w:ascii="Times New Roman" w:eastAsia="Times New Roman" w:hAnsi="Times New Roman" w:cs="Times New Roman"/>
          <w:sz w:val="24"/>
          <w:szCs w:val="24"/>
        </w:rPr>
        <w:t>[</w:t>
      </w:r>
      <w:r w:rsidR="003C28F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5125" w:rsidRPr="003D2C13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0499B74" w14:textId="0B21F105" w:rsidR="00290B90" w:rsidRPr="00993277" w:rsidRDefault="00966896" w:rsidP="00993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932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Проведенный анализ по</w:t>
      </w:r>
      <w:r w:rsidR="000234D7" w:rsidRPr="009932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дтверждает выдвинутую гипотезу о том, что общий уровень стоимости маржинального долга </w:t>
      </w:r>
      <w:r w:rsidR="00AE53FF" w:rsidRPr="009932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2025–2026 гг. не являе</w:t>
      </w:r>
      <w:r w:rsidRPr="009932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тся достаточным условием для формирования пузыря, аналогичного кризису 2015 г. Изменившаяся структура рынка (институционализация) и регуляторной среды (</w:t>
      </w:r>
      <w:r w:rsidR="00991CD0" w:rsidRPr="009932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ограничение</w:t>
      </w:r>
      <w:r w:rsidRPr="009932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«теневого» плеча, ужесточение надзора) качественно снизили системный риск.</w:t>
      </w:r>
      <w:r w:rsidR="00991CD0" w:rsidRPr="009932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Вероятность сценария «пожарной </w:t>
      </w:r>
      <w:r w:rsidRPr="009932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распродажи», запущенной обвалом маржинальных счетов, сегодня существенно ниже. Дальнейшая динамика будет зависеть не столько от объема заимствований, сколько от сохранения жесткости бюджетных ограничений для заемщиков и эффективности мониторинга со стороны регулятора.</w:t>
      </w:r>
    </w:p>
    <w:p w14:paraId="4431EAAC" w14:textId="77777777" w:rsidR="00CC0E51" w:rsidRPr="00993277" w:rsidRDefault="00CC0E51" w:rsidP="00993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4B34D929" w:rsidR="002928B2" w:rsidRPr="00993277" w:rsidRDefault="00D14A82" w:rsidP="00993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2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5E1C6746" w14:textId="21219A2A" w:rsidR="00993277" w:rsidRDefault="004D7F68" w:rsidP="00993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9932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="00962E6E" w:rsidRPr="009932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Dang </w:t>
      </w:r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T. V., Li W., Wang Y. Government Stock Purchase Undermines Price </w:t>
      </w:r>
      <w:proofErr w:type="spellStart"/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Informativeness</w:t>
      </w:r>
      <w:proofErr w:type="spellEnd"/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: Evidence from China’s “National Team” // Journal of Financial and Quantitative Analysis. — 2024. — Vol. 59, № 5. — P. 2340–2374. — DOI: 10.1017/S0022109023000637.</w:t>
      </w:r>
      <w:r w:rsidR="007E5D5D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7E5D5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(</w:t>
      </w:r>
      <w:r w:rsidR="007E5D5D" w:rsidRPr="00993277">
        <w:rPr>
          <w:rFonts w:ascii="Times New Roman" w:hAnsi="Times New Roman" w:cs="Times New Roman"/>
          <w:color w:val="222222"/>
          <w:sz w:val="24"/>
          <w:szCs w:val="24"/>
        </w:rPr>
        <w:t>дата</w:t>
      </w:r>
      <w:r w:rsidR="007E5D5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7E5D5D" w:rsidRPr="00993277">
        <w:rPr>
          <w:rFonts w:ascii="Times New Roman" w:hAnsi="Times New Roman" w:cs="Times New Roman"/>
          <w:color w:val="222222"/>
          <w:sz w:val="24"/>
          <w:szCs w:val="24"/>
        </w:rPr>
        <w:t>обращения</w:t>
      </w:r>
      <w:r w:rsidR="007D5757">
        <w:rPr>
          <w:rFonts w:ascii="Times New Roman" w:hAnsi="Times New Roman" w:cs="Times New Roman"/>
          <w:color w:val="222222"/>
          <w:sz w:val="24"/>
          <w:szCs w:val="24"/>
          <w:lang w:val="en-US"/>
        </w:rPr>
        <w:t>: 15</w:t>
      </w:r>
      <w:bookmarkStart w:id="0" w:name="_GoBack"/>
      <w:bookmarkEnd w:id="0"/>
      <w:r w:rsidR="007E5D5D">
        <w:rPr>
          <w:rFonts w:ascii="Times New Roman" w:hAnsi="Times New Roman" w:cs="Times New Roman"/>
          <w:color w:val="222222"/>
          <w:sz w:val="24"/>
          <w:szCs w:val="24"/>
          <w:lang w:val="en-US"/>
        </w:rPr>
        <w:t>.02</w:t>
      </w:r>
      <w:r w:rsidR="007E5D5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.2026).</w:t>
      </w:r>
    </w:p>
    <w:p w14:paraId="09F74047" w14:textId="389F5CE5" w:rsidR="00993277" w:rsidRDefault="004D7F68" w:rsidP="00993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9932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Jiangze</w:t>
      </w:r>
      <w:proofErr w:type="spellEnd"/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B., He Z., </w:t>
      </w:r>
      <w:proofErr w:type="spellStart"/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Shue</w:t>
      </w:r>
      <w:proofErr w:type="spellEnd"/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K., Zhou H. Leverage-Induced Fire Sales and Stock Market Crashes [</w:t>
      </w:r>
      <w:r w:rsidR="00962E6E" w:rsidRPr="00993277">
        <w:rPr>
          <w:rFonts w:ascii="Times New Roman" w:hAnsi="Times New Roman" w:cs="Times New Roman"/>
          <w:color w:val="222222"/>
          <w:sz w:val="24"/>
          <w:szCs w:val="24"/>
        </w:rPr>
        <w:t>Электронный</w:t>
      </w:r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962E6E" w:rsidRPr="00993277">
        <w:rPr>
          <w:rFonts w:ascii="Times New Roman" w:hAnsi="Times New Roman" w:cs="Times New Roman"/>
          <w:color w:val="222222"/>
          <w:sz w:val="24"/>
          <w:szCs w:val="24"/>
        </w:rPr>
        <w:t>ресурс</w:t>
      </w:r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] // NBER Working Paper. — 2018. — № 25040. — URL: </w:t>
      </w:r>
      <w:hyperlink r:id="rId6" w:tgtFrame="_blank" w:history="1">
        <w:r w:rsidR="00962E6E" w:rsidRPr="00993277">
          <w:rPr>
            <w:rStyle w:val="a5"/>
            <w:rFonts w:ascii="Times New Roman" w:hAnsi="Times New Roman" w:cs="Times New Roman"/>
            <w:color w:val="1155CC"/>
            <w:sz w:val="24"/>
            <w:szCs w:val="24"/>
            <w:lang w:val="en-US"/>
          </w:rPr>
          <w:t>https://doi.org/10.3386/w25040</w:t>
        </w:r>
      </w:hyperlink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 (</w:t>
      </w:r>
      <w:r w:rsidR="00962E6E" w:rsidRPr="00993277">
        <w:rPr>
          <w:rFonts w:ascii="Times New Roman" w:hAnsi="Times New Roman" w:cs="Times New Roman"/>
          <w:color w:val="222222"/>
          <w:sz w:val="24"/>
          <w:szCs w:val="24"/>
        </w:rPr>
        <w:t>дата</w:t>
      </w:r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962E6E" w:rsidRPr="00993277">
        <w:rPr>
          <w:rFonts w:ascii="Times New Roman" w:hAnsi="Times New Roman" w:cs="Times New Roman"/>
          <w:color w:val="222222"/>
          <w:sz w:val="24"/>
          <w:szCs w:val="24"/>
        </w:rPr>
        <w:t>обращения</w:t>
      </w:r>
      <w:r w:rsidR="007D5757">
        <w:rPr>
          <w:rFonts w:ascii="Times New Roman" w:hAnsi="Times New Roman" w:cs="Times New Roman"/>
          <w:color w:val="222222"/>
          <w:sz w:val="24"/>
          <w:szCs w:val="24"/>
          <w:lang w:val="en-US"/>
        </w:rPr>
        <w:t>: 22</w:t>
      </w:r>
      <w:r w:rsidR="007E5D5D">
        <w:rPr>
          <w:rFonts w:ascii="Times New Roman" w:hAnsi="Times New Roman" w:cs="Times New Roman"/>
          <w:color w:val="222222"/>
          <w:sz w:val="24"/>
          <w:szCs w:val="24"/>
          <w:lang w:val="en-US"/>
        </w:rPr>
        <w:t>.02</w:t>
      </w:r>
      <w:r w:rsidR="00962E6E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.2026).</w:t>
      </w:r>
    </w:p>
    <w:p w14:paraId="293BA460" w14:textId="276DD69F" w:rsidR="00993277" w:rsidRDefault="004D7F68" w:rsidP="00993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9932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People’s Bank of China. 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关于规范金融机构资产管理业务的指导意见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（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银发〔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2018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〕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106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号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）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[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Электронный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ресурс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]. — 2018. — URL: </w:t>
      </w:r>
      <w:hyperlink r:id="rId7" w:tgtFrame="_blank" w:history="1">
        <w:r w:rsidR="0082749D" w:rsidRPr="00993277">
          <w:rPr>
            <w:rStyle w:val="a5"/>
            <w:rFonts w:ascii="Times New Roman" w:hAnsi="Times New Roman" w:cs="Times New Roman"/>
            <w:color w:val="1155CC"/>
            <w:sz w:val="24"/>
            <w:szCs w:val="24"/>
            <w:lang w:val="en-US"/>
          </w:rPr>
          <w:t>https://www.pbc.gov.cn/tiaofasi/144941/3581332/3730258/index.html</w:t>
        </w:r>
      </w:hyperlink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 (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дата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обращения</w:t>
      </w:r>
      <w:r w:rsidR="007D5757">
        <w:rPr>
          <w:rFonts w:ascii="Times New Roman" w:hAnsi="Times New Roman" w:cs="Times New Roman"/>
          <w:color w:val="222222"/>
          <w:sz w:val="24"/>
          <w:szCs w:val="24"/>
          <w:lang w:val="en-US"/>
        </w:rPr>
        <w:t>: 08.02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.2026).</w:t>
      </w:r>
    </w:p>
    <w:p w14:paraId="65296805" w14:textId="59815C6D" w:rsidR="00993277" w:rsidRDefault="004D7F68" w:rsidP="00993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9932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Reuters. China’s stock margin financing hits record high as investors chase rally [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Электронный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ресурс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]. — 2025. — URL: </w:t>
      </w:r>
      <w:hyperlink r:id="rId8" w:tgtFrame="_blank" w:history="1">
        <w:r w:rsidR="0082749D" w:rsidRPr="00993277">
          <w:rPr>
            <w:rStyle w:val="a5"/>
            <w:rFonts w:ascii="Times New Roman" w:hAnsi="Times New Roman" w:cs="Times New Roman"/>
            <w:color w:val="1155CC"/>
            <w:sz w:val="24"/>
            <w:szCs w:val="24"/>
            <w:lang w:val="en-US"/>
          </w:rPr>
          <w:t>https://www.reuters.com/world/asia-pacific/chinas-stock-margin-financing-hits-record-high-investors-chase-rally-2025-09-02/</w:t>
        </w:r>
      </w:hyperlink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 (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дата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обращения</w:t>
      </w:r>
      <w:r w:rsidR="00222B3E">
        <w:rPr>
          <w:rFonts w:ascii="Times New Roman" w:hAnsi="Times New Roman" w:cs="Times New Roman"/>
          <w:color w:val="222222"/>
          <w:sz w:val="24"/>
          <w:szCs w:val="24"/>
          <w:lang w:val="en-US"/>
        </w:rPr>
        <w:t>: 22.02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.2026). </w:t>
      </w:r>
    </w:p>
    <w:p w14:paraId="426F36B8" w14:textId="59554AAB" w:rsidR="00993277" w:rsidRDefault="004D7F68" w:rsidP="009932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9932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南方日报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(Southern Finance). 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相关财经报道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[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Электронный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ресурс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]. — 2024. — URL: </w:t>
      </w:r>
      <w:hyperlink r:id="rId9" w:tgtFrame="_blank" w:history="1">
        <w:r w:rsidR="0082749D" w:rsidRPr="00993277">
          <w:rPr>
            <w:rStyle w:val="a5"/>
            <w:rFonts w:ascii="Times New Roman" w:hAnsi="Times New Roman" w:cs="Times New Roman"/>
            <w:color w:val="1155CC"/>
            <w:sz w:val="24"/>
            <w:szCs w:val="24"/>
            <w:lang w:val="en-US"/>
          </w:rPr>
          <w:t>https://static.nfnews.com/content/202406/28/c9032943.html</w:t>
        </w:r>
      </w:hyperlink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 (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дата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</w:rPr>
        <w:t>обращения</w:t>
      </w:r>
      <w:r w:rsidR="00222B3E">
        <w:rPr>
          <w:rFonts w:ascii="Times New Roman" w:hAnsi="Times New Roman" w:cs="Times New Roman"/>
          <w:color w:val="222222"/>
          <w:sz w:val="24"/>
          <w:szCs w:val="24"/>
          <w:lang w:val="en-US"/>
        </w:rPr>
        <w:t>: 15.02</w:t>
      </w:r>
      <w:r w:rsidR="0082749D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.2026).</w:t>
      </w:r>
    </w:p>
    <w:p w14:paraId="010DD53D" w14:textId="3258D534" w:rsidR="00F97776" w:rsidRPr="006A4B1C" w:rsidRDefault="004D7F68" w:rsidP="00046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rFonts w:ascii="Times New Roman" w:eastAsia="Trebuchet MS" w:hAnsi="Times New Roman" w:cs="Times New Roman" w:hint="eastAsia"/>
          <w:sz w:val="24"/>
          <w:szCs w:val="24"/>
          <w:lang w:val="en-US"/>
        </w:rPr>
      </w:pPr>
      <w:r w:rsidRPr="0099327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</w:rPr>
        <w:t>华西证券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. A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</w:rPr>
        <w:t>股投资者结构全景图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2025Q2 [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</w:rPr>
        <w:t>Электронный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</w:rPr>
        <w:t>ресурс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]. — 2025. — URL: </w:t>
      </w:r>
      <w:hyperlink r:id="rId10" w:history="1">
        <w:r w:rsidR="006A4B1C" w:rsidRPr="009932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https://ru.scribd.com/document/93946298</w:t>
        </w:r>
        <w:r w:rsidR="006A4B1C" w:rsidRPr="009932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8</w:t>
        </w:r>
        <w:r w:rsidR="006A4B1C" w:rsidRPr="009932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/20250916</w:t>
        </w:r>
      </w:hyperlink>
      <w:r w:rsidR="006A4B1C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(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</w:rPr>
        <w:t>дата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</w:rPr>
        <w:t>обращения</w:t>
      </w:r>
      <w:r w:rsidR="00222B3E">
        <w:rPr>
          <w:rFonts w:ascii="Times New Roman" w:hAnsi="Times New Roman" w:cs="Times New Roman"/>
          <w:color w:val="222222"/>
          <w:sz w:val="24"/>
          <w:szCs w:val="24"/>
          <w:lang w:val="en-US"/>
        </w:rPr>
        <w:t>: 15.02</w:t>
      </w:r>
      <w:r w:rsidR="006A4B1C" w:rsidRPr="00993277">
        <w:rPr>
          <w:rFonts w:ascii="Times New Roman" w:hAnsi="Times New Roman" w:cs="Times New Roman"/>
          <w:color w:val="222222"/>
          <w:sz w:val="24"/>
          <w:szCs w:val="24"/>
          <w:lang w:val="en-US"/>
        </w:rPr>
        <w:t>.2026).</w:t>
      </w:r>
    </w:p>
    <w:sectPr w:rsidR="00F97776" w:rsidRPr="006A4B1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3174"/>
    <w:multiLevelType w:val="hybridMultilevel"/>
    <w:tmpl w:val="D7A8C1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6654D1"/>
    <w:multiLevelType w:val="multilevel"/>
    <w:tmpl w:val="2FDA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B2"/>
    <w:rsid w:val="00002D42"/>
    <w:rsid w:val="000044FE"/>
    <w:rsid w:val="000068AE"/>
    <w:rsid w:val="000234D7"/>
    <w:rsid w:val="0003321D"/>
    <w:rsid w:val="00037666"/>
    <w:rsid w:val="0004608E"/>
    <w:rsid w:val="00047E46"/>
    <w:rsid w:val="0005193C"/>
    <w:rsid w:val="000520EE"/>
    <w:rsid w:val="00061F57"/>
    <w:rsid w:val="0007224B"/>
    <w:rsid w:val="000732EC"/>
    <w:rsid w:val="000807AC"/>
    <w:rsid w:val="00084CF1"/>
    <w:rsid w:val="0008755C"/>
    <w:rsid w:val="00092555"/>
    <w:rsid w:val="000A0DC9"/>
    <w:rsid w:val="000B1D44"/>
    <w:rsid w:val="000B2BAB"/>
    <w:rsid w:val="000B6CC2"/>
    <w:rsid w:val="000C41C2"/>
    <w:rsid w:val="000C5E9E"/>
    <w:rsid w:val="000D5A0C"/>
    <w:rsid w:val="000E32B2"/>
    <w:rsid w:val="000F0F43"/>
    <w:rsid w:val="00106892"/>
    <w:rsid w:val="0011049A"/>
    <w:rsid w:val="0012248A"/>
    <w:rsid w:val="0013048E"/>
    <w:rsid w:val="00134564"/>
    <w:rsid w:val="00143B49"/>
    <w:rsid w:val="00144C18"/>
    <w:rsid w:val="001453B7"/>
    <w:rsid w:val="00160B0C"/>
    <w:rsid w:val="00160BF5"/>
    <w:rsid w:val="0016298F"/>
    <w:rsid w:val="001651C8"/>
    <w:rsid w:val="00191E0B"/>
    <w:rsid w:val="001939DB"/>
    <w:rsid w:val="00197A70"/>
    <w:rsid w:val="001A3070"/>
    <w:rsid w:val="001B0E60"/>
    <w:rsid w:val="001B5E45"/>
    <w:rsid w:val="001B7D06"/>
    <w:rsid w:val="001C1CFC"/>
    <w:rsid w:val="001C61AC"/>
    <w:rsid w:val="001D5B28"/>
    <w:rsid w:val="001D66AE"/>
    <w:rsid w:val="001E0CE6"/>
    <w:rsid w:val="00207C48"/>
    <w:rsid w:val="00222B3E"/>
    <w:rsid w:val="00226A8A"/>
    <w:rsid w:val="002443CA"/>
    <w:rsid w:val="00244E6E"/>
    <w:rsid w:val="00254656"/>
    <w:rsid w:val="00264532"/>
    <w:rsid w:val="002656DC"/>
    <w:rsid w:val="00290B90"/>
    <w:rsid w:val="002928B2"/>
    <w:rsid w:val="0029779F"/>
    <w:rsid w:val="00297D1A"/>
    <w:rsid w:val="002A0B01"/>
    <w:rsid w:val="002A2C8B"/>
    <w:rsid w:val="002A6F89"/>
    <w:rsid w:val="002B16D8"/>
    <w:rsid w:val="002C5CA5"/>
    <w:rsid w:val="002D19D2"/>
    <w:rsid w:val="002D3952"/>
    <w:rsid w:val="002D3C40"/>
    <w:rsid w:val="002D5556"/>
    <w:rsid w:val="002E12D1"/>
    <w:rsid w:val="002E3209"/>
    <w:rsid w:val="002F31BE"/>
    <w:rsid w:val="00304EF4"/>
    <w:rsid w:val="003362B9"/>
    <w:rsid w:val="00337E8E"/>
    <w:rsid w:val="00340A23"/>
    <w:rsid w:val="003421DF"/>
    <w:rsid w:val="00342430"/>
    <w:rsid w:val="00355125"/>
    <w:rsid w:val="00363C64"/>
    <w:rsid w:val="00375B56"/>
    <w:rsid w:val="0038692E"/>
    <w:rsid w:val="003928A1"/>
    <w:rsid w:val="003A1B9D"/>
    <w:rsid w:val="003A2AF2"/>
    <w:rsid w:val="003A629A"/>
    <w:rsid w:val="003A637B"/>
    <w:rsid w:val="003A7751"/>
    <w:rsid w:val="003A7882"/>
    <w:rsid w:val="003B6CF9"/>
    <w:rsid w:val="003C28F7"/>
    <w:rsid w:val="003D2C13"/>
    <w:rsid w:val="003E5786"/>
    <w:rsid w:val="003E7140"/>
    <w:rsid w:val="003F3B28"/>
    <w:rsid w:val="003F5E76"/>
    <w:rsid w:val="004070E8"/>
    <w:rsid w:val="0041036B"/>
    <w:rsid w:val="0041221D"/>
    <w:rsid w:val="00417B25"/>
    <w:rsid w:val="00433F9B"/>
    <w:rsid w:val="00434260"/>
    <w:rsid w:val="00434889"/>
    <w:rsid w:val="004413EA"/>
    <w:rsid w:val="00442236"/>
    <w:rsid w:val="00445861"/>
    <w:rsid w:val="00447CBB"/>
    <w:rsid w:val="00453153"/>
    <w:rsid w:val="0045682F"/>
    <w:rsid w:val="00460644"/>
    <w:rsid w:val="0046254C"/>
    <w:rsid w:val="00475254"/>
    <w:rsid w:val="00482B26"/>
    <w:rsid w:val="00487C74"/>
    <w:rsid w:val="004A1BC8"/>
    <w:rsid w:val="004A3018"/>
    <w:rsid w:val="004A3046"/>
    <w:rsid w:val="004A33E5"/>
    <w:rsid w:val="004A4209"/>
    <w:rsid w:val="004B1B48"/>
    <w:rsid w:val="004C1F87"/>
    <w:rsid w:val="004D5752"/>
    <w:rsid w:val="004D648B"/>
    <w:rsid w:val="004D7F68"/>
    <w:rsid w:val="004E617A"/>
    <w:rsid w:val="004F169E"/>
    <w:rsid w:val="004F19FC"/>
    <w:rsid w:val="0051032B"/>
    <w:rsid w:val="005132D5"/>
    <w:rsid w:val="005178EF"/>
    <w:rsid w:val="00517C8D"/>
    <w:rsid w:val="005339E4"/>
    <w:rsid w:val="0054004B"/>
    <w:rsid w:val="00541D54"/>
    <w:rsid w:val="00544041"/>
    <w:rsid w:val="00545D09"/>
    <w:rsid w:val="00571B35"/>
    <w:rsid w:val="00574A88"/>
    <w:rsid w:val="00577EF6"/>
    <w:rsid w:val="005846EC"/>
    <w:rsid w:val="00586462"/>
    <w:rsid w:val="00592BB6"/>
    <w:rsid w:val="005A1EB5"/>
    <w:rsid w:val="005E0A20"/>
    <w:rsid w:val="005E0E3C"/>
    <w:rsid w:val="00630125"/>
    <w:rsid w:val="006347A6"/>
    <w:rsid w:val="006421BC"/>
    <w:rsid w:val="00645373"/>
    <w:rsid w:val="00653151"/>
    <w:rsid w:val="00653289"/>
    <w:rsid w:val="00662563"/>
    <w:rsid w:val="00673144"/>
    <w:rsid w:val="00674BC0"/>
    <w:rsid w:val="00681650"/>
    <w:rsid w:val="006A1D02"/>
    <w:rsid w:val="006A252D"/>
    <w:rsid w:val="006A4B1C"/>
    <w:rsid w:val="006B0906"/>
    <w:rsid w:val="006B239B"/>
    <w:rsid w:val="006B2C25"/>
    <w:rsid w:val="006B4B39"/>
    <w:rsid w:val="006C38AF"/>
    <w:rsid w:val="006E1669"/>
    <w:rsid w:val="006E2C45"/>
    <w:rsid w:val="00703296"/>
    <w:rsid w:val="007072AC"/>
    <w:rsid w:val="00711A4C"/>
    <w:rsid w:val="007252D3"/>
    <w:rsid w:val="00747949"/>
    <w:rsid w:val="007609CA"/>
    <w:rsid w:val="00765A6D"/>
    <w:rsid w:val="00775CD7"/>
    <w:rsid w:val="0078438E"/>
    <w:rsid w:val="0079474A"/>
    <w:rsid w:val="00797349"/>
    <w:rsid w:val="007A24BE"/>
    <w:rsid w:val="007B17D2"/>
    <w:rsid w:val="007B5259"/>
    <w:rsid w:val="007C08A7"/>
    <w:rsid w:val="007C0D7D"/>
    <w:rsid w:val="007D5757"/>
    <w:rsid w:val="007D6099"/>
    <w:rsid w:val="007D6DCD"/>
    <w:rsid w:val="007E5D5D"/>
    <w:rsid w:val="00800EB6"/>
    <w:rsid w:val="00805400"/>
    <w:rsid w:val="00825211"/>
    <w:rsid w:val="0082749D"/>
    <w:rsid w:val="00832297"/>
    <w:rsid w:val="00833087"/>
    <w:rsid w:val="00836B14"/>
    <w:rsid w:val="00844198"/>
    <w:rsid w:val="00844B2F"/>
    <w:rsid w:val="00845E83"/>
    <w:rsid w:val="00852848"/>
    <w:rsid w:val="00853DC9"/>
    <w:rsid w:val="00871A6A"/>
    <w:rsid w:val="00872130"/>
    <w:rsid w:val="0087662D"/>
    <w:rsid w:val="008A14E5"/>
    <w:rsid w:val="008A5BFE"/>
    <w:rsid w:val="008B282B"/>
    <w:rsid w:val="008B3F99"/>
    <w:rsid w:val="008C1EAD"/>
    <w:rsid w:val="008D51A6"/>
    <w:rsid w:val="008E509B"/>
    <w:rsid w:val="00900B31"/>
    <w:rsid w:val="00902A9B"/>
    <w:rsid w:val="009046EF"/>
    <w:rsid w:val="009100F0"/>
    <w:rsid w:val="00910237"/>
    <w:rsid w:val="009108F1"/>
    <w:rsid w:val="00911364"/>
    <w:rsid w:val="00917A9F"/>
    <w:rsid w:val="00921643"/>
    <w:rsid w:val="009233AE"/>
    <w:rsid w:val="00925742"/>
    <w:rsid w:val="00933B09"/>
    <w:rsid w:val="00940E5C"/>
    <w:rsid w:val="00945ADD"/>
    <w:rsid w:val="00946734"/>
    <w:rsid w:val="00955396"/>
    <w:rsid w:val="00962E6E"/>
    <w:rsid w:val="00966896"/>
    <w:rsid w:val="009700B5"/>
    <w:rsid w:val="009830B6"/>
    <w:rsid w:val="00991CD0"/>
    <w:rsid w:val="00993277"/>
    <w:rsid w:val="009932FB"/>
    <w:rsid w:val="00994BF7"/>
    <w:rsid w:val="009A1453"/>
    <w:rsid w:val="009A27A3"/>
    <w:rsid w:val="009E6F1C"/>
    <w:rsid w:val="00A00AB4"/>
    <w:rsid w:val="00A022C2"/>
    <w:rsid w:val="00A02375"/>
    <w:rsid w:val="00A15404"/>
    <w:rsid w:val="00A27523"/>
    <w:rsid w:val="00A34912"/>
    <w:rsid w:val="00A42FC6"/>
    <w:rsid w:val="00A554A7"/>
    <w:rsid w:val="00A601CE"/>
    <w:rsid w:val="00A611B5"/>
    <w:rsid w:val="00A6199E"/>
    <w:rsid w:val="00A65E3F"/>
    <w:rsid w:val="00A85055"/>
    <w:rsid w:val="00A91BFF"/>
    <w:rsid w:val="00A95633"/>
    <w:rsid w:val="00AA4475"/>
    <w:rsid w:val="00AB1CF5"/>
    <w:rsid w:val="00AC007C"/>
    <w:rsid w:val="00AC300F"/>
    <w:rsid w:val="00AC62D7"/>
    <w:rsid w:val="00AD2626"/>
    <w:rsid w:val="00AD3375"/>
    <w:rsid w:val="00AD3545"/>
    <w:rsid w:val="00AD3934"/>
    <w:rsid w:val="00AE382C"/>
    <w:rsid w:val="00AE53FF"/>
    <w:rsid w:val="00AE78CD"/>
    <w:rsid w:val="00AF2590"/>
    <w:rsid w:val="00AF3B36"/>
    <w:rsid w:val="00B14501"/>
    <w:rsid w:val="00B34C38"/>
    <w:rsid w:val="00B420A4"/>
    <w:rsid w:val="00B424BC"/>
    <w:rsid w:val="00B472C2"/>
    <w:rsid w:val="00B53829"/>
    <w:rsid w:val="00B65BA2"/>
    <w:rsid w:val="00B67508"/>
    <w:rsid w:val="00B720B5"/>
    <w:rsid w:val="00B821E4"/>
    <w:rsid w:val="00B84367"/>
    <w:rsid w:val="00B97F68"/>
    <w:rsid w:val="00BA5690"/>
    <w:rsid w:val="00BA6A1C"/>
    <w:rsid w:val="00BA7102"/>
    <w:rsid w:val="00BC346E"/>
    <w:rsid w:val="00BC35E9"/>
    <w:rsid w:val="00BC5ADA"/>
    <w:rsid w:val="00BC61EE"/>
    <w:rsid w:val="00BE1952"/>
    <w:rsid w:val="00BE3D0C"/>
    <w:rsid w:val="00BE607C"/>
    <w:rsid w:val="00BF0B07"/>
    <w:rsid w:val="00BF4905"/>
    <w:rsid w:val="00C2071A"/>
    <w:rsid w:val="00C364C3"/>
    <w:rsid w:val="00C37AB9"/>
    <w:rsid w:val="00C54438"/>
    <w:rsid w:val="00C57CE9"/>
    <w:rsid w:val="00C6343F"/>
    <w:rsid w:val="00C6637F"/>
    <w:rsid w:val="00C67947"/>
    <w:rsid w:val="00C7699D"/>
    <w:rsid w:val="00C870C8"/>
    <w:rsid w:val="00C90391"/>
    <w:rsid w:val="00CB3446"/>
    <w:rsid w:val="00CB6F85"/>
    <w:rsid w:val="00CC0E51"/>
    <w:rsid w:val="00CD5066"/>
    <w:rsid w:val="00CE21CF"/>
    <w:rsid w:val="00CE3872"/>
    <w:rsid w:val="00CF3D45"/>
    <w:rsid w:val="00D008F6"/>
    <w:rsid w:val="00D04531"/>
    <w:rsid w:val="00D07C55"/>
    <w:rsid w:val="00D145C0"/>
    <w:rsid w:val="00D14A82"/>
    <w:rsid w:val="00D1665D"/>
    <w:rsid w:val="00D17A34"/>
    <w:rsid w:val="00D3170E"/>
    <w:rsid w:val="00D37FAC"/>
    <w:rsid w:val="00D40806"/>
    <w:rsid w:val="00D47513"/>
    <w:rsid w:val="00D54392"/>
    <w:rsid w:val="00D67630"/>
    <w:rsid w:val="00D7586B"/>
    <w:rsid w:val="00D9131F"/>
    <w:rsid w:val="00D92D4B"/>
    <w:rsid w:val="00D9308D"/>
    <w:rsid w:val="00D9524D"/>
    <w:rsid w:val="00DB4257"/>
    <w:rsid w:val="00DC6EFE"/>
    <w:rsid w:val="00DD1609"/>
    <w:rsid w:val="00DE3270"/>
    <w:rsid w:val="00DE3FAC"/>
    <w:rsid w:val="00DE4E21"/>
    <w:rsid w:val="00DE6722"/>
    <w:rsid w:val="00DF7154"/>
    <w:rsid w:val="00E03DB0"/>
    <w:rsid w:val="00E074E0"/>
    <w:rsid w:val="00E1470D"/>
    <w:rsid w:val="00E14A15"/>
    <w:rsid w:val="00E17604"/>
    <w:rsid w:val="00E22698"/>
    <w:rsid w:val="00E22971"/>
    <w:rsid w:val="00E2598F"/>
    <w:rsid w:val="00E26C00"/>
    <w:rsid w:val="00E34E8A"/>
    <w:rsid w:val="00E453C9"/>
    <w:rsid w:val="00E4625C"/>
    <w:rsid w:val="00E67389"/>
    <w:rsid w:val="00E71DF9"/>
    <w:rsid w:val="00E77816"/>
    <w:rsid w:val="00E84959"/>
    <w:rsid w:val="00E92353"/>
    <w:rsid w:val="00EA5797"/>
    <w:rsid w:val="00EA7F5E"/>
    <w:rsid w:val="00EB1E81"/>
    <w:rsid w:val="00EC203D"/>
    <w:rsid w:val="00ED013D"/>
    <w:rsid w:val="00EE1280"/>
    <w:rsid w:val="00EE5704"/>
    <w:rsid w:val="00EF193B"/>
    <w:rsid w:val="00EF500C"/>
    <w:rsid w:val="00F02D9E"/>
    <w:rsid w:val="00F034D4"/>
    <w:rsid w:val="00F051F8"/>
    <w:rsid w:val="00F062E2"/>
    <w:rsid w:val="00F108CE"/>
    <w:rsid w:val="00F1469B"/>
    <w:rsid w:val="00F16336"/>
    <w:rsid w:val="00F333FB"/>
    <w:rsid w:val="00F33792"/>
    <w:rsid w:val="00F401E0"/>
    <w:rsid w:val="00F439D3"/>
    <w:rsid w:val="00F45481"/>
    <w:rsid w:val="00F4626D"/>
    <w:rsid w:val="00F53A47"/>
    <w:rsid w:val="00F5593F"/>
    <w:rsid w:val="00F60B21"/>
    <w:rsid w:val="00F62FC2"/>
    <w:rsid w:val="00F638BB"/>
    <w:rsid w:val="00F65CAD"/>
    <w:rsid w:val="00F66D4B"/>
    <w:rsid w:val="00F83199"/>
    <w:rsid w:val="00F87121"/>
    <w:rsid w:val="00F925A4"/>
    <w:rsid w:val="00F97776"/>
    <w:rsid w:val="00FA5EA7"/>
    <w:rsid w:val="00FB1281"/>
    <w:rsid w:val="00FC11C8"/>
    <w:rsid w:val="00FC4684"/>
    <w:rsid w:val="00FE039B"/>
    <w:rsid w:val="00FF49A3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6F8B"/>
  <w15:docId w15:val="{657D69FC-28F8-4725-B206-FF5D6F77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6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66963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84C8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6B65CA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30DD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30DDD"/>
  </w:style>
  <w:style w:type="character" w:customStyle="1" w:styleId="ac">
    <w:name w:val="Текст примечания Знак"/>
    <w:basedOn w:val="a0"/>
    <w:link w:val="ab"/>
    <w:uiPriority w:val="99"/>
    <w:semiHidden/>
    <w:rsid w:val="00D30D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D30D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30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world/asia-pacific/chinas-stock-margin-financing-hits-record-high-investors-chase-rally-2025-09-0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bc.gov.cn/tiaofasi/144941/3581332/3730258/index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86/w2504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scribd.com/document/939462988/202509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ic.nfnews.com/content/202406/28/c90329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aCiF7LnJ1ONzzmG2FAiN+GeSw==">CgMxLjAaJQoBMBIgCh4IB0IaCg9UaW1lcyBOZXcgUm9tYW4SB0d1bmdzdWg4AHIhMUs2WXlzUWk3aUZqYnNva2J2cVA0LUZLRTNzQkpXUVox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Никита</dc:creator>
  <cp:lastModifiedBy>Никита</cp:lastModifiedBy>
  <cp:revision>10</cp:revision>
  <dcterms:created xsi:type="dcterms:W3CDTF">2026-02-28T11:56:00Z</dcterms:created>
  <dcterms:modified xsi:type="dcterms:W3CDTF">2026-03-07T21:42:00Z</dcterms:modified>
</cp:coreProperties>
</file>