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ind w:left="0" w:firstLine="72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Эволюция биофармацевтической индустрии Республики Корея в контексте глобального развития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Возникновение биофармацевтической индустрии связано с развитием биотехнологий и фармацевтической отрасли. На протяжении столетий обществу были необходимы лекарственные препараты для лечения заболеваний, поддержания иммунитета и т.д. Однако, некоторые хронические заболевания не могли быть вылечены традиционными методами, поэтому в прошлом веке люди стали искать способы для борьбы с ними, и был разработан первый биофармацевтический препарат — рекомбинантный инсулин человека, получивший одобрение FDA в 1982 году. Так появилась новая многообещающая индустрия на основе биотехнологий — биофармацевтика. </w:t>
      </w:r>
    </w:p>
    <w:p w:rsidR="00000000" w:rsidDel="00000000" w:rsidP="00000000" w:rsidRDefault="00000000" w:rsidRPr="00000000" w14:paraId="00000003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Несмотря на то, что традиционно Запад лидировал в производстве фармацевтической продукции, азиатские страны также вступили в гонку в новой индустрии. Так, п</w:t>
      </w:r>
      <w:r w:rsidDel="00000000" w:rsidR="00000000" w:rsidRPr="00000000">
        <w:rPr>
          <w:sz w:val="24"/>
          <w:szCs w:val="24"/>
          <w:rtl w:val="0"/>
        </w:rPr>
        <w:t xml:space="preserve">равительство Республики Корея увидело потенциал в новой биотехнологической индустрии и начало работать в направлении развития фундаментальных наук, которые позднее принесли свои плоды в виде лидирующего положения РК на мировом биофармацевтическом рынке за счет биоаналогов. </w:t>
      </w:r>
    </w:p>
    <w:p w:rsidR="00000000" w:rsidDel="00000000" w:rsidP="00000000" w:rsidRDefault="00000000" w:rsidRPr="00000000" w14:paraId="00000004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Биофармацевтическая индустрия Южной Кореи остается недостаточно изученной: исследования чаще рассматривают отдельно биотехнологии или фармацевтику. Работы западных авторов немногочисленны и в основном сосредоточены на внутреннем рынке РК. Чон Х. и др.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sz w:val="24"/>
          <w:szCs w:val="24"/>
          <w:rtl w:val="0"/>
        </w:rPr>
        <w:t xml:space="preserve"> анализируют развитие компаний с акцентом на CDMO, Ли и Ян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sz w:val="24"/>
          <w:szCs w:val="24"/>
          <w:rtl w:val="0"/>
        </w:rPr>
        <w:t xml:space="preserve"> — стратегии интернационализации биотехнологических фирм, а Ван и др.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2"/>
      </w:r>
      <w:r w:rsidDel="00000000" w:rsidR="00000000" w:rsidRPr="00000000">
        <w:rPr>
          <w:sz w:val="24"/>
          <w:szCs w:val="24"/>
          <w:rtl w:val="0"/>
        </w:rPr>
        <w:t xml:space="preserve">, Hsieh и Löfgren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3"/>
      </w:r>
      <w:r w:rsidDel="00000000" w:rsidR="00000000" w:rsidRPr="00000000">
        <w:rPr>
          <w:sz w:val="24"/>
          <w:szCs w:val="24"/>
          <w:rtl w:val="0"/>
        </w:rPr>
        <w:t xml:space="preserve"> рассматривают Корею в контексте Восточной Азии, затрагивая лишь общие характеристики отрасли. Отечественные исследования по данной теме отсутствуют.</w:t>
      </w:r>
    </w:p>
    <w:p w:rsidR="00000000" w:rsidDel="00000000" w:rsidP="00000000" w:rsidRDefault="00000000" w:rsidRPr="00000000" w14:paraId="00000005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Таким образом открытым остается вопрос о том, как именно РК из импорто-зависимой страны стала одним из успешных государств, развивающих биофармацевтику. Исследования эволюции южнокорейской биофармацевтической индустрии необходимо, в том числе для понимания, как страны или компании, находящиеся в состоянии догоняющего развития, могут стать конкурентоспособными на рынках, связанных со здравоохранением. </w:t>
      </w:r>
    </w:p>
    <w:p w:rsidR="00000000" w:rsidDel="00000000" w:rsidP="00000000" w:rsidRDefault="00000000" w:rsidRPr="00000000" w14:paraId="00000006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В данном исследовании значительное внимание уделяется государственным инициативам, направленным на развитие биотехнологического потенциала Республики Корея. Например, такие планы как: Biotech-2000, Bio-Vision 2016, Комплексные планы для продвижения на мировой рынок. Большое место занимают отчеты южнокорейских исследователей 90-х и 2000-х годов. </w:t>
      </w:r>
    </w:p>
    <w:p w:rsidR="00000000" w:rsidDel="00000000" w:rsidP="00000000" w:rsidRDefault="00000000" w:rsidRPr="00000000" w14:paraId="00000007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В ходе работы применялись качественные методы: описание, индукция, синтез, анализ, сравнение. Цель работы: сопоставить этапы развития биофармацевтической индустрии Республики Корея с глобальной эволюцией отрасли и определить, совпадают ли ключевые вехи и логика развития.</w:t>
      </w:r>
    </w:p>
    <w:p w:rsidR="00000000" w:rsidDel="00000000" w:rsidP="00000000" w:rsidRDefault="00000000" w:rsidRPr="00000000" w14:paraId="00000008">
      <w:pPr>
        <w:ind w:left="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рамках исследования был проведён последовательный анализ эволюции мировой биофармацевтической индустрии и сопоставление её этапов с развитием биофармацевтики в Республике Корея. Работа строилась в несколько этапов.</w:t>
      </w:r>
    </w:p>
    <w:p w:rsidR="00000000" w:rsidDel="00000000" w:rsidP="00000000" w:rsidRDefault="00000000" w:rsidRPr="00000000" w14:paraId="00000009">
      <w:pPr>
        <w:ind w:left="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Исследование строилось в три этапа. Сначала была систематизирована эволюция мировой биофармы: коммерциализация рекомбинантных препаратов в 1980-х годах, формирование глобальных производственных цепочек в 1990–2000-х, рост биоаналогов и CDMO, регуляторная гармонизация в 2010-х, а также цифровизация и усиление международной кооперации в постковидный период. Это позволило выделить основные стадии глобального развития.</w:t>
      </w:r>
    </w:p>
    <w:p w:rsidR="00000000" w:rsidDel="00000000" w:rsidP="00000000" w:rsidRDefault="00000000" w:rsidRPr="00000000" w14:paraId="0000000A">
      <w:pPr>
        <w:ind w:left="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заключительном этапе проведён сравнительный анализ глобальной и корейской траекторий по временным рамкам технологических переходов, специализации, развитию контрактного производства и роли государства.</w:t>
      </w:r>
    </w:p>
    <w:p w:rsidR="00000000" w:rsidDel="00000000" w:rsidP="00000000" w:rsidRDefault="00000000" w:rsidRPr="00000000" w14:paraId="0000000B">
      <w:pPr>
        <w:ind w:left="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Ключевая особенность корейской модели заключается в масштабной и системной государственной координации. Государство выступало стратегическим актором, обеспечивая финансирование НИОКР, развитие инфраструктуры клинических исследований и экспортную ориентацию отрасли. Таким образом, Южная Корея не создала альтернативную модель, а успешно встроилась в глобальную систему биофармацевтической индустрии. Её успех объясняется следованием мировым тенденциям и активной государственной политики, ускорившей интеграцию в глобальные цепочки создания стоимости.</w:t>
      </w:r>
    </w:p>
    <w:p w:rsidR="00000000" w:rsidDel="00000000" w:rsidP="00000000" w:rsidRDefault="00000000" w:rsidRPr="00000000" w14:paraId="0000000C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Список литературы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Hsieh C. R., Lofgren H. Biopharmaceutical innovation and industrial developments in South Korea, Singapore and Taiwan //Australian Health Review. – 2009. – Т. 33. – №. 2. – С. 245-257.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Jeong H. et al. Quantum jump in biopharmaceutical industry: a case of Korea’s catching up with Europe and US //European Planning Studies. – 2023. – Т. 31. – №. 5. – С. 885-904.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Lee J., Yang Y. S. International Strategy, R&amp;D Intensity, and Sustainable Earnings of Biotech Firms //Sustainability. – 2019. – Т. 11. – №. 17. – С. 4772.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Wang J.H., Chen T. Y., Tsai C. J. In search of an innovative state: the development of the biopharmaceutical industry in Taiwan, South Korea and China //Development and Change. – 2012. – Т. 43. – №. 2. – С. 481-503.</w:t>
      </w:r>
    </w:p>
    <w:p w:rsidR="00000000" w:rsidDel="00000000" w:rsidP="00000000" w:rsidRDefault="00000000" w:rsidRPr="00000000" w14:paraId="00000013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360.6299212598426" w:right="1360.629921259842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5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Jeong H. et al. Quantum jump in biopharmaceutical industry: a case of Korea’s catching up with Europe and US //European Planning Studies. – 2023. – Т. 31. – №. 5. – С. 885-904.</w:t>
      </w:r>
    </w:p>
  </w:footnote>
  <w:footnote w:id="1">
    <w:p w:rsidR="00000000" w:rsidDel="00000000" w:rsidP="00000000" w:rsidRDefault="00000000" w:rsidRPr="00000000" w14:paraId="00000016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Lee J., Yang Y. S. International Strategy, R&amp;D Intensity, and Sustainable Earnings of Biotech Firms //Sustainability. – 2019. – Т. 11. – №. 17. – С. 4772.</w:t>
      </w:r>
    </w:p>
  </w:footnote>
  <w:footnote w:id="2">
    <w:p w:rsidR="00000000" w:rsidDel="00000000" w:rsidP="00000000" w:rsidRDefault="00000000" w:rsidRPr="00000000" w14:paraId="00000017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Wang J.H., Chen T. Y., Tsai C. J. In search of an innovative state: the development of the biopharmaceutical industry in Taiwan, South Korea and China //Development and Change. – 2012. – Т. 43. – №. 2. – С. 481-503.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18">
      <w:pPr>
        <w:spacing w:line="240" w:lineRule="auto"/>
        <w:jc w:val="left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Hsieh C. R., Lofgren H. Biopharmaceutical innovation and industrial developments in South Korea, Singapore and Taiwan //Australian Health Review. – 2009. – Т. 33. – №. 2. – С. 245-257.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ru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