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6C9A" w14:textId="1DBB8028" w:rsidR="00043DE6" w:rsidRPr="00043DE6" w:rsidRDefault="00043DE6" w:rsidP="00043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DE6">
        <w:rPr>
          <w:rFonts w:ascii="Times New Roman" w:hAnsi="Times New Roman" w:cs="Times New Roman"/>
          <w:b/>
          <w:bCs/>
          <w:sz w:val="24"/>
          <w:szCs w:val="24"/>
        </w:rPr>
        <w:t>Влияние инвестиционного климата на экономический рост стран Восточной и Юго-Восточной Азии в 2000–2020-е гг.</w:t>
      </w:r>
    </w:p>
    <w:p w14:paraId="79A2F6C1" w14:textId="77777777" w:rsidR="00043DE6" w:rsidRPr="00043DE6" w:rsidRDefault="00043DE6" w:rsidP="00043DE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79DCF2" w14:textId="6BFC994C" w:rsidR="00043DE6" w:rsidRPr="00043DE6" w:rsidRDefault="00043DE6" w:rsidP="0004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DE6">
        <w:rPr>
          <w:rFonts w:ascii="Times New Roman" w:hAnsi="Times New Roman" w:cs="Times New Roman"/>
          <w:sz w:val="24"/>
          <w:szCs w:val="24"/>
        </w:rPr>
        <w:t>Несмотря на общепризнанный в академической среде постулат о том, что благоприятный инвестиционный климат является фундаментальным условием для устойчивого экономического развития, специфика, степень и каналы этого влияния остаются недостаточно изученными в контексте региональной гетерогенности стран В</w:t>
      </w:r>
      <w:r>
        <w:rPr>
          <w:rFonts w:ascii="Times New Roman" w:hAnsi="Times New Roman" w:cs="Times New Roman"/>
          <w:sz w:val="24"/>
          <w:szCs w:val="24"/>
        </w:rPr>
        <w:t>осточной и Юго-Восточной Азии</w:t>
      </w:r>
      <w:r w:rsidRPr="00043DE6">
        <w:rPr>
          <w:rFonts w:ascii="Times New Roman" w:hAnsi="Times New Roman" w:cs="Times New Roman"/>
          <w:sz w:val="24"/>
          <w:szCs w:val="24"/>
        </w:rPr>
        <w:t xml:space="preserve"> в условиях глобальных экономических трансформаций 2000–2020-х г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43DE6">
        <w:rPr>
          <w:rFonts w:ascii="Times New Roman" w:hAnsi="Times New Roman" w:cs="Times New Roman"/>
          <w:sz w:val="24"/>
          <w:szCs w:val="24"/>
        </w:rPr>
        <w:t>. Регион пережил период резкого роста, обусловленного активной глобализацией, но также столкнулся с серь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43DE6">
        <w:rPr>
          <w:rFonts w:ascii="Times New Roman" w:hAnsi="Times New Roman" w:cs="Times New Roman"/>
          <w:sz w:val="24"/>
          <w:szCs w:val="24"/>
        </w:rPr>
        <w:t>зными внешними и внутренними потрясениями, включая Мировой финансовый кризис 2008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3DE6">
        <w:rPr>
          <w:rFonts w:ascii="Times New Roman" w:hAnsi="Times New Roman" w:cs="Times New Roman"/>
          <w:sz w:val="24"/>
          <w:szCs w:val="24"/>
        </w:rPr>
        <w:t>, обострение торговых конфликтов и пандемию COVID-19. Эти события по-разному повлияли на инвестиционную привлекательность отдельных экономик и, как следствие, на их траектории экономического роста. Таким образом, научная проблема</w:t>
      </w:r>
      <w:r>
        <w:rPr>
          <w:rFonts w:ascii="Times New Roman" w:hAnsi="Times New Roman" w:cs="Times New Roman"/>
          <w:sz w:val="24"/>
          <w:szCs w:val="24"/>
        </w:rPr>
        <w:t>тика</w:t>
      </w:r>
      <w:r w:rsidRPr="00043DE6">
        <w:rPr>
          <w:rFonts w:ascii="Times New Roman" w:hAnsi="Times New Roman" w:cs="Times New Roman"/>
          <w:sz w:val="24"/>
          <w:szCs w:val="24"/>
        </w:rPr>
        <w:t xml:space="preserve"> заключается в необходимости выявить количественную зависимость между агрегированными показателями инвестиционного климата и темпами роста ВВП, а также провести структурный анализ наиболее значимых институциональных и регуляторных факторов, формирующих эту зависимость в столь динамичном и неоднородном макрорегионе. Без ч</w:t>
      </w:r>
      <w:r w:rsidR="00C33EA7">
        <w:rPr>
          <w:rFonts w:ascii="Times New Roman" w:hAnsi="Times New Roman" w:cs="Times New Roman"/>
          <w:sz w:val="24"/>
          <w:szCs w:val="24"/>
        </w:rPr>
        <w:t>ё</w:t>
      </w:r>
      <w:r w:rsidRPr="00043DE6">
        <w:rPr>
          <w:rFonts w:ascii="Times New Roman" w:hAnsi="Times New Roman" w:cs="Times New Roman"/>
          <w:sz w:val="24"/>
          <w:szCs w:val="24"/>
        </w:rPr>
        <w:t>ткого понимания этих механизмов невозможно разработать адресные политические рекомендации, учитывающие уникальные условия каждой страны.</w:t>
      </w:r>
    </w:p>
    <w:p w14:paraId="5A7674B1" w14:textId="4C01C602" w:rsidR="00043DE6" w:rsidRPr="00043DE6" w:rsidRDefault="00043DE6" w:rsidP="0004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DE6">
        <w:rPr>
          <w:rFonts w:ascii="Times New Roman" w:hAnsi="Times New Roman" w:cs="Times New Roman"/>
          <w:sz w:val="24"/>
          <w:szCs w:val="24"/>
        </w:rPr>
        <w:t>Исследование роли инвестиций в экономическом росте имеет глубокие теоретические корни в классических неокейнсианских и неоклассических моделях роста, где накопление капитала рассматривалось как ключевой экстенсивный фактор. Однако, наиболее релевантный для данного исследования теоретический фундамент был заложен в рамках</w:t>
      </w:r>
      <w:r w:rsidR="00203D6B">
        <w:rPr>
          <w:rFonts w:ascii="Times New Roman" w:hAnsi="Times New Roman" w:cs="Times New Roman"/>
          <w:sz w:val="24"/>
          <w:szCs w:val="24"/>
        </w:rPr>
        <w:t xml:space="preserve"> </w:t>
      </w:r>
      <w:r w:rsidRPr="00043DE6">
        <w:rPr>
          <w:rFonts w:ascii="Times New Roman" w:hAnsi="Times New Roman" w:cs="Times New Roman"/>
          <w:sz w:val="24"/>
          <w:szCs w:val="24"/>
        </w:rPr>
        <w:t>эндогенных теорий роста (П. Ромер, Р. Лукас), которые в конце XX – начале XXI в</w:t>
      </w:r>
      <w:r w:rsidR="00203D6B">
        <w:rPr>
          <w:rFonts w:ascii="Times New Roman" w:hAnsi="Times New Roman" w:cs="Times New Roman"/>
          <w:sz w:val="24"/>
          <w:szCs w:val="24"/>
        </w:rPr>
        <w:t>в.</w:t>
      </w:r>
      <w:r w:rsidRPr="00043DE6">
        <w:rPr>
          <w:rFonts w:ascii="Times New Roman" w:hAnsi="Times New Roman" w:cs="Times New Roman"/>
          <w:sz w:val="24"/>
          <w:szCs w:val="24"/>
        </w:rPr>
        <w:t xml:space="preserve"> сместили исследовательский фокус с простого объ</w:t>
      </w:r>
      <w:r w:rsidR="00C33EA7">
        <w:rPr>
          <w:rFonts w:ascii="Times New Roman" w:hAnsi="Times New Roman" w:cs="Times New Roman"/>
          <w:sz w:val="24"/>
          <w:szCs w:val="24"/>
        </w:rPr>
        <w:t>ём</w:t>
      </w:r>
      <w:r w:rsidRPr="00043DE6">
        <w:rPr>
          <w:rFonts w:ascii="Times New Roman" w:hAnsi="Times New Roman" w:cs="Times New Roman"/>
          <w:sz w:val="24"/>
          <w:szCs w:val="24"/>
        </w:rPr>
        <w:t>а инвестиций на их качество и, что критически важно, на среду, в которой они реализуются. Именно эти теории легли в основу современной концепции «инвестиционного климата», подчеркивающей определяющую роль качества институтов, человеческого капитала, инноваций и регуляторной политики. Эмпирические исследования Всемирного банка и МВФ многократно подтвердили, что создание благоприятной деловой среды имеет более сильный и устойчивый эффект на рост, чем простое увеличение капиталовложений. Тем не менее, применительно к В</w:t>
      </w:r>
      <w:r w:rsidR="00203D6B">
        <w:rPr>
          <w:rFonts w:ascii="Times New Roman" w:hAnsi="Times New Roman" w:cs="Times New Roman"/>
          <w:sz w:val="24"/>
          <w:szCs w:val="24"/>
        </w:rPr>
        <w:t xml:space="preserve">осточной и </w:t>
      </w:r>
      <w:r w:rsidRPr="00043DE6">
        <w:rPr>
          <w:rFonts w:ascii="Times New Roman" w:hAnsi="Times New Roman" w:cs="Times New Roman"/>
          <w:sz w:val="24"/>
          <w:szCs w:val="24"/>
        </w:rPr>
        <w:t>Ю</w:t>
      </w:r>
      <w:r w:rsidR="00203D6B">
        <w:rPr>
          <w:rFonts w:ascii="Times New Roman" w:hAnsi="Times New Roman" w:cs="Times New Roman"/>
          <w:sz w:val="24"/>
          <w:szCs w:val="24"/>
        </w:rPr>
        <w:t>го-</w:t>
      </w:r>
      <w:r w:rsidRPr="00043DE6">
        <w:rPr>
          <w:rFonts w:ascii="Times New Roman" w:hAnsi="Times New Roman" w:cs="Times New Roman"/>
          <w:sz w:val="24"/>
          <w:szCs w:val="24"/>
        </w:rPr>
        <w:t>В</w:t>
      </w:r>
      <w:r w:rsidR="00203D6B">
        <w:rPr>
          <w:rFonts w:ascii="Times New Roman" w:hAnsi="Times New Roman" w:cs="Times New Roman"/>
          <w:sz w:val="24"/>
          <w:szCs w:val="24"/>
        </w:rPr>
        <w:t xml:space="preserve">осточной </w:t>
      </w:r>
      <w:r w:rsidRPr="00043DE6">
        <w:rPr>
          <w:rFonts w:ascii="Times New Roman" w:hAnsi="Times New Roman" w:cs="Times New Roman"/>
          <w:sz w:val="24"/>
          <w:szCs w:val="24"/>
        </w:rPr>
        <w:t>А</w:t>
      </w:r>
      <w:r w:rsidR="00203D6B">
        <w:rPr>
          <w:rFonts w:ascii="Times New Roman" w:hAnsi="Times New Roman" w:cs="Times New Roman"/>
          <w:sz w:val="24"/>
          <w:szCs w:val="24"/>
        </w:rPr>
        <w:t>зии</w:t>
      </w:r>
      <w:r w:rsidRPr="00043DE6">
        <w:rPr>
          <w:rFonts w:ascii="Times New Roman" w:hAnsi="Times New Roman" w:cs="Times New Roman"/>
          <w:sz w:val="24"/>
          <w:szCs w:val="24"/>
        </w:rPr>
        <w:t xml:space="preserve">, большая часть существующей литературы либо сосредоточена на анализе динамики </w:t>
      </w:r>
      <w:r w:rsidR="00C33EA7">
        <w:rPr>
          <w:rFonts w:ascii="Times New Roman" w:hAnsi="Times New Roman" w:cs="Times New Roman"/>
          <w:sz w:val="24"/>
          <w:szCs w:val="24"/>
        </w:rPr>
        <w:t>ПИИ</w:t>
      </w:r>
      <w:r w:rsidRPr="00043DE6">
        <w:rPr>
          <w:rFonts w:ascii="Times New Roman" w:hAnsi="Times New Roman" w:cs="Times New Roman"/>
          <w:sz w:val="24"/>
          <w:szCs w:val="24"/>
        </w:rPr>
        <w:t xml:space="preserve"> в рамках АСЕАН, либо ограничивается изучением отдельных стран (Китай, Сингапур). Работы, которые охватывали бы весь макрорегион, включая как наиболее развитые (Япония, Республика Корея), так и развивающиеся экономики, на протяжении 2000–2020-е г</w:t>
      </w:r>
      <w:r w:rsidR="00203D6B">
        <w:rPr>
          <w:rFonts w:ascii="Times New Roman" w:hAnsi="Times New Roman" w:cs="Times New Roman"/>
          <w:sz w:val="24"/>
          <w:szCs w:val="24"/>
        </w:rPr>
        <w:t>г.</w:t>
      </w:r>
      <w:r w:rsidRPr="00043DE6">
        <w:rPr>
          <w:rFonts w:ascii="Times New Roman" w:hAnsi="Times New Roman" w:cs="Times New Roman"/>
          <w:sz w:val="24"/>
          <w:szCs w:val="24"/>
        </w:rPr>
        <w:t xml:space="preserve"> с применением единой эконометрической методологии, остаются малочисленными. Таким образом, в существующей историографии недостаточно проработан вопрос о том, какие специфические региональные факторы имеют наибольшее значение для инвестиционного климата и экономического роста именно в </w:t>
      </w:r>
      <w:r w:rsidR="00203D6B" w:rsidRPr="00043DE6">
        <w:rPr>
          <w:rFonts w:ascii="Times New Roman" w:hAnsi="Times New Roman" w:cs="Times New Roman"/>
          <w:sz w:val="24"/>
          <w:szCs w:val="24"/>
        </w:rPr>
        <w:t>В</w:t>
      </w:r>
      <w:r w:rsidR="00203D6B">
        <w:rPr>
          <w:rFonts w:ascii="Times New Roman" w:hAnsi="Times New Roman" w:cs="Times New Roman"/>
          <w:sz w:val="24"/>
          <w:szCs w:val="24"/>
        </w:rPr>
        <w:t xml:space="preserve">осточной и </w:t>
      </w:r>
      <w:r w:rsidR="00203D6B" w:rsidRPr="00043DE6">
        <w:rPr>
          <w:rFonts w:ascii="Times New Roman" w:hAnsi="Times New Roman" w:cs="Times New Roman"/>
          <w:sz w:val="24"/>
          <w:szCs w:val="24"/>
        </w:rPr>
        <w:t>Ю</w:t>
      </w:r>
      <w:r w:rsidR="00203D6B">
        <w:rPr>
          <w:rFonts w:ascii="Times New Roman" w:hAnsi="Times New Roman" w:cs="Times New Roman"/>
          <w:sz w:val="24"/>
          <w:szCs w:val="24"/>
        </w:rPr>
        <w:t>го-</w:t>
      </w:r>
      <w:r w:rsidR="00203D6B" w:rsidRPr="00043DE6">
        <w:rPr>
          <w:rFonts w:ascii="Times New Roman" w:hAnsi="Times New Roman" w:cs="Times New Roman"/>
          <w:sz w:val="24"/>
          <w:szCs w:val="24"/>
        </w:rPr>
        <w:t>В</w:t>
      </w:r>
      <w:r w:rsidR="00203D6B">
        <w:rPr>
          <w:rFonts w:ascii="Times New Roman" w:hAnsi="Times New Roman" w:cs="Times New Roman"/>
          <w:sz w:val="24"/>
          <w:szCs w:val="24"/>
        </w:rPr>
        <w:t xml:space="preserve">осточной </w:t>
      </w:r>
      <w:r w:rsidR="00203D6B" w:rsidRPr="00043DE6">
        <w:rPr>
          <w:rFonts w:ascii="Times New Roman" w:hAnsi="Times New Roman" w:cs="Times New Roman"/>
          <w:sz w:val="24"/>
          <w:szCs w:val="24"/>
        </w:rPr>
        <w:t>А</w:t>
      </w:r>
      <w:r w:rsidR="00203D6B">
        <w:rPr>
          <w:rFonts w:ascii="Times New Roman" w:hAnsi="Times New Roman" w:cs="Times New Roman"/>
          <w:sz w:val="24"/>
          <w:szCs w:val="24"/>
        </w:rPr>
        <w:t>зии</w:t>
      </w:r>
      <w:r w:rsidR="00203D6B">
        <w:rPr>
          <w:rFonts w:ascii="Times New Roman" w:hAnsi="Times New Roman" w:cs="Times New Roman"/>
          <w:sz w:val="24"/>
          <w:szCs w:val="24"/>
        </w:rPr>
        <w:t>.</w:t>
      </w:r>
    </w:p>
    <w:p w14:paraId="507115EF" w14:textId="79C11371" w:rsidR="00203D6B" w:rsidRPr="00203D6B" w:rsidRDefault="00043DE6" w:rsidP="003F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DE6">
        <w:rPr>
          <w:rFonts w:ascii="Times New Roman" w:hAnsi="Times New Roman" w:cs="Times New Roman"/>
          <w:sz w:val="24"/>
          <w:szCs w:val="24"/>
        </w:rPr>
        <w:t>Источниковая база формируется на основе данных международных организаций, обеспечивающих высокую степень сопоставимости: World Development Indicators (WDI) Всемирного банка</w:t>
      </w:r>
      <w:r w:rsidR="00203D6B">
        <w:rPr>
          <w:rFonts w:ascii="Times New Roman" w:hAnsi="Times New Roman" w:cs="Times New Roman"/>
          <w:sz w:val="24"/>
          <w:szCs w:val="24"/>
        </w:rPr>
        <w:t xml:space="preserve"> и </w:t>
      </w:r>
      <w:r w:rsidRPr="00043DE6">
        <w:rPr>
          <w:rFonts w:ascii="Times New Roman" w:hAnsi="Times New Roman" w:cs="Times New Roman"/>
          <w:sz w:val="24"/>
          <w:szCs w:val="24"/>
        </w:rPr>
        <w:t>IMF World Economic Outlook (WEO</w:t>
      </w:r>
      <w:r w:rsidR="00203D6B">
        <w:rPr>
          <w:rFonts w:ascii="Times New Roman" w:hAnsi="Times New Roman" w:cs="Times New Roman"/>
          <w:sz w:val="24"/>
          <w:szCs w:val="24"/>
        </w:rPr>
        <w:t>)</w:t>
      </w:r>
      <w:r w:rsidRPr="00043DE6">
        <w:rPr>
          <w:rFonts w:ascii="Times New Roman" w:hAnsi="Times New Roman" w:cs="Times New Roman"/>
          <w:sz w:val="24"/>
          <w:szCs w:val="24"/>
        </w:rPr>
        <w:t xml:space="preserve">. </w:t>
      </w:r>
      <w:r w:rsidR="00203D6B" w:rsidRPr="00203D6B">
        <w:rPr>
          <w:rFonts w:ascii="Times New Roman" w:hAnsi="Times New Roman" w:cs="Times New Roman"/>
          <w:sz w:val="24"/>
          <w:szCs w:val="24"/>
        </w:rPr>
        <w:t xml:space="preserve">Основным методом исследования является эконометрическое моделирование на основе панельных данных. Данный метод оптимален для анализа гетерогенной группы стран в течение длительного периода времени, позволяя учесть как межстрановую специфику, так и временные эффекты. </w:t>
      </w:r>
    </w:p>
    <w:p w14:paraId="074EB3EE" w14:textId="48CCB5E9" w:rsidR="00203D6B" w:rsidRPr="00203D6B" w:rsidRDefault="00203D6B" w:rsidP="0020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D6B">
        <w:rPr>
          <w:rFonts w:ascii="Times New Roman" w:hAnsi="Times New Roman" w:cs="Times New Roman"/>
          <w:sz w:val="24"/>
          <w:szCs w:val="24"/>
        </w:rPr>
        <w:t>Новизна заключается</w:t>
      </w:r>
      <w:r w:rsidR="003F42F7">
        <w:rPr>
          <w:rFonts w:ascii="Times New Roman" w:hAnsi="Times New Roman" w:cs="Times New Roman"/>
          <w:sz w:val="24"/>
          <w:szCs w:val="24"/>
        </w:rPr>
        <w:t xml:space="preserve"> </w:t>
      </w:r>
      <w:r w:rsidRPr="00203D6B">
        <w:rPr>
          <w:rFonts w:ascii="Times New Roman" w:hAnsi="Times New Roman" w:cs="Times New Roman"/>
          <w:sz w:val="24"/>
          <w:szCs w:val="24"/>
        </w:rPr>
        <w:t xml:space="preserve">в комплексном охвате региона, включающем как развитые, так и ключевые развивающиеся экономики </w:t>
      </w:r>
      <w:r w:rsidR="003F42F7" w:rsidRPr="003F42F7">
        <w:rPr>
          <w:rFonts w:ascii="Times New Roman" w:hAnsi="Times New Roman" w:cs="Times New Roman"/>
          <w:sz w:val="24"/>
          <w:szCs w:val="24"/>
        </w:rPr>
        <w:t>Восточной и Юго-Восточной Азии</w:t>
      </w:r>
      <w:r w:rsidRPr="00203D6B">
        <w:rPr>
          <w:rFonts w:ascii="Times New Roman" w:hAnsi="Times New Roman" w:cs="Times New Roman"/>
          <w:sz w:val="24"/>
          <w:szCs w:val="24"/>
        </w:rPr>
        <w:t xml:space="preserve"> в единую панельную модель. </w:t>
      </w:r>
      <w:r w:rsidR="00C33EA7" w:rsidRPr="00C33EA7">
        <w:rPr>
          <w:rFonts w:ascii="Times New Roman" w:hAnsi="Times New Roman" w:cs="Times New Roman"/>
          <w:sz w:val="24"/>
          <w:szCs w:val="24"/>
        </w:rPr>
        <w:t xml:space="preserve">Данный подход обладает многогранной новизной, которая заключается, во-первых, в предложении комплексной панельной модели, одновременно </w:t>
      </w:r>
      <w:r w:rsidR="00C33EA7" w:rsidRPr="00C33EA7">
        <w:rPr>
          <w:rFonts w:ascii="Times New Roman" w:hAnsi="Times New Roman" w:cs="Times New Roman"/>
          <w:sz w:val="24"/>
          <w:szCs w:val="24"/>
        </w:rPr>
        <w:lastRenderedPageBreak/>
        <w:t>учитывающей как классические макроэкономические драйверы роста (потребление, накопление капитала, ПИИ), так и ключевые институциональные параметры инвестиционного климата (время регистрации бизнеса, макроэкономическая стабильность). Такая спецификация позволяет количественно оценить относительный вклад каждого фактора в динамику ВВП региона. Во-вторых, операционализировано и эмпирически подтверждено понятие институциональных пороговых эффектов: включение времени регистрации бизнеса в модель в квадратичной форме позволило статистически выявить критические диапазоны, в которых дополнительное увеличение длительности процедур приводит к непропорциональному падению темпов экономического роста, что является нелинейной спецификацией, отсутствующей в большинстве существующих региональных работ. Наконец, количественные результаты систематически сопоставляются с детальными страновыми кейсами, что позволяет перейти от чисто статистического описания к выявлению конкретных экономических механизмов и институциональных конфигураций, стоящих за полученными численными оценками.</w:t>
      </w:r>
    </w:p>
    <w:p w14:paraId="0F370935" w14:textId="26CA7AAD" w:rsidR="00203D6B" w:rsidRPr="00203D6B" w:rsidRDefault="00203D6B" w:rsidP="00741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D6B">
        <w:rPr>
          <w:rFonts w:ascii="Times New Roman" w:hAnsi="Times New Roman" w:cs="Times New Roman"/>
          <w:sz w:val="24"/>
          <w:szCs w:val="24"/>
        </w:rPr>
        <w:t xml:space="preserve">Ход исследования </w:t>
      </w:r>
      <w:r w:rsidR="003F42F7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203D6B">
        <w:rPr>
          <w:rFonts w:ascii="Times New Roman" w:hAnsi="Times New Roman" w:cs="Times New Roman"/>
          <w:sz w:val="24"/>
          <w:szCs w:val="24"/>
        </w:rPr>
        <w:t xml:space="preserve"> </w:t>
      </w:r>
      <w:r w:rsidR="003F42F7">
        <w:rPr>
          <w:rFonts w:ascii="Times New Roman" w:hAnsi="Times New Roman" w:cs="Times New Roman"/>
          <w:sz w:val="24"/>
          <w:szCs w:val="24"/>
        </w:rPr>
        <w:t>к</w:t>
      </w:r>
      <w:r w:rsidRPr="00203D6B">
        <w:rPr>
          <w:rFonts w:ascii="Times New Roman" w:hAnsi="Times New Roman" w:cs="Times New Roman"/>
          <w:sz w:val="24"/>
          <w:szCs w:val="24"/>
        </w:rPr>
        <w:t xml:space="preserve">оличественный анализ с использованием </w:t>
      </w:r>
      <w:r w:rsidR="003F42F7">
        <w:rPr>
          <w:rFonts w:ascii="Times New Roman" w:hAnsi="Times New Roman" w:cs="Times New Roman"/>
          <w:sz w:val="24"/>
          <w:szCs w:val="24"/>
        </w:rPr>
        <w:t xml:space="preserve">панельной </w:t>
      </w:r>
      <w:r w:rsidRPr="00203D6B">
        <w:rPr>
          <w:rFonts w:ascii="Times New Roman" w:hAnsi="Times New Roman" w:cs="Times New Roman"/>
          <w:sz w:val="24"/>
          <w:szCs w:val="24"/>
        </w:rPr>
        <w:t>модели</w:t>
      </w:r>
      <w:r w:rsidR="003F42F7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203D6B">
        <w:rPr>
          <w:rFonts w:ascii="Times New Roman" w:hAnsi="Times New Roman" w:cs="Times New Roman"/>
          <w:sz w:val="24"/>
          <w:szCs w:val="24"/>
        </w:rPr>
        <w:t xml:space="preserve">подтвердил статистически значимое и устойчивое положительное влияние инвестиционного климата на экономический рост стран </w:t>
      </w:r>
      <w:r w:rsidR="003F42F7" w:rsidRPr="003F42F7">
        <w:rPr>
          <w:rFonts w:ascii="Times New Roman" w:hAnsi="Times New Roman" w:cs="Times New Roman"/>
          <w:sz w:val="24"/>
          <w:szCs w:val="24"/>
        </w:rPr>
        <w:t>Восточной и Юго-Восточной Азии</w:t>
      </w:r>
      <w:r w:rsidR="003F42F7">
        <w:rPr>
          <w:rFonts w:ascii="Times New Roman" w:hAnsi="Times New Roman" w:cs="Times New Roman"/>
          <w:sz w:val="24"/>
          <w:szCs w:val="24"/>
        </w:rPr>
        <w:t xml:space="preserve"> в 2020–2020-е гг</w:t>
      </w:r>
      <w:r w:rsidRPr="00203D6B">
        <w:rPr>
          <w:rFonts w:ascii="Times New Roman" w:hAnsi="Times New Roman" w:cs="Times New Roman"/>
          <w:sz w:val="24"/>
          <w:szCs w:val="24"/>
        </w:rPr>
        <w:t>. Результаты показали, что благоприятный инвестиционный климат не просто привлекает капитал, но и критически повышает его предельную отдачу в хозяйственной системе. Эконометрическое моделирование также позволило обнаружить нелинейный эффект: в странах с уже очень высоким качеством инвестиционной среды дальнейшие улучшения дают меньшую предельную отдачу, чем аналогичные реформы в развивающихся экономиках.</w:t>
      </w:r>
    </w:p>
    <w:p w14:paraId="4AED12D9" w14:textId="4FCC6050" w:rsidR="00203D6B" w:rsidRPr="00203D6B" w:rsidRDefault="00203D6B" w:rsidP="00203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D6B">
        <w:rPr>
          <w:rFonts w:ascii="Times New Roman" w:hAnsi="Times New Roman" w:cs="Times New Roman"/>
          <w:sz w:val="24"/>
          <w:szCs w:val="24"/>
        </w:rPr>
        <w:t>Анализ детерминантов, провед</w:t>
      </w:r>
      <w:r w:rsidR="00741E5F">
        <w:rPr>
          <w:rFonts w:ascii="Times New Roman" w:hAnsi="Times New Roman" w:cs="Times New Roman"/>
          <w:sz w:val="24"/>
          <w:szCs w:val="24"/>
        </w:rPr>
        <w:t>ё</w:t>
      </w:r>
      <w:r w:rsidRPr="00203D6B">
        <w:rPr>
          <w:rFonts w:ascii="Times New Roman" w:hAnsi="Times New Roman" w:cs="Times New Roman"/>
          <w:sz w:val="24"/>
          <w:szCs w:val="24"/>
        </w:rPr>
        <w:t>нный на основе сравнения успешных кейсов, подтвердил, что устойчивый рост в ведущих экономиках региона был обеспечен целенаправленной политикой в отношении институциональных реформ и стратегических инвестиций в НИОКР, образование и создание научно-технических кластеров. Структурный анализ также выявил региональную дихотомию: для развитых стран приоритетом является стимулирование инноваций, тогда как для развивающихся стран ключевым фактором остается привлечение Greenfield проектов через базовую институциональную стабилизацию и развитие инфраструктуры.</w:t>
      </w:r>
    </w:p>
    <w:p w14:paraId="656A13F5" w14:textId="594989B1" w:rsidR="00F43C8E" w:rsidRDefault="00203D6B" w:rsidP="00200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D6B">
        <w:rPr>
          <w:rFonts w:ascii="Times New Roman" w:hAnsi="Times New Roman" w:cs="Times New Roman"/>
          <w:sz w:val="24"/>
          <w:szCs w:val="24"/>
        </w:rPr>
        <w:t>Провед</w:t>
      </w:r>
      <w:r w:rsidR="00741E5F">
        <w:rPr>
          <w:rFonts w:ascii="Times New Roman" w:hAnsi="Times New Roman" w:cs="Times New Roman"/>
          <w:sz w:val="24"/>
          <w:szCs w:val="24"/>
        </w:rPr>
        <w:t>ё</w:t>
      </w:r>
      <w:r w:rsidRPr="00203D6B">
        <w:rPr>
          <w:rFonts w:ascii="Times New Roman" w:hAnsi="Times New Roman" w:cs="Times New Roman"/>
          <w:sz w:val="24"/>
          <w:szCs w:val="24"/>
        </w:rPr>
        <w:t>нный анализ</w:t>
      </w:r>
      <w:r w:rsidR="00200097">
        <w:rPr>
          <w:rFonts w:ascii="Times New Roman" w:hAnsi="Times New Roman" w:cs="Times New Roman"/>
          <w:sz w:val="24"/>
          <w:szCs w:val="24"/>
        </w:rPr>
        <w:t xml:space="preserve"> </w:t>
      </w:r>
      <w:r w:rsidRPr="00203D6B">
        <w:rPr>
          <w:rFonts w:ascii="Times New Roman" w:hAnsi="Times New Roman" w:cs="Times New Roman"/>
          <w:sz w:val="24"/>
          <w:szCs w:val="24"/>
        </w:rPr>
        <w:t>позволяет сформулировать ч</w:t>
      </w:r>
      <w:r w:rsidR="00741E5F">
        <w:rPr>
          <w:rFonts w:ascii="Times New Roman" w:hAnsi="Times New Roman" w:cs="Times New Roman"/>
          <w:sz w:val="24"/>
          <w:szCs w:val="24"/>
        </w:rPr>
        <w:t>ё</w:t>
      </w:r>
      <w:r w:rsidRPr="00203D6B">
        <w:rPr>
          <w:rFonts w:ascii="Times New Roman" w:hAnsi="Times New Roman" w:cs="Times New Roman"/>
          <w:sz w:val="24"/>
          <w:szCs w:val="24"/>
        </w:rPr>
        <w:t>ткие и над</w:t>
      </w:r>
      <w:r w:rsidR="00741E5F">
        <w:rPr>
          <w:rFonts w:ascii="Times New Roman" w:hAnsi="Times New Roman" w:cs="Times New Roman"/>
          <w:sz w:val="24"/>
          <w:szCs w:val="24"/>
        </w:rPr>
        <w:t>ё</w:t>
      </w:r>
      <w:r w:rsidRPr="00203D6B">
        <w:rPr>
          <w:rFonts w:ascii="Times New Roman" w:hAnsi="Times New Roman" w:cs="Times New Roman"/>
          <w:sz w:val="24"/>
          <w:szCs w:val="24"/>
        </w:rPr>
        <w:t xml:space="preserve">жные выводы. Влияние инвестиционного климата на экономический рост стран </w:t>
      </w:r>
      <w:r w:rsidR="00741E5F" w:rsidRPr="003F42F7">
        <w:rPr>
          <w:rFonts w:ascii="Times New Roman" w:hAnsi="Times New Roman" w:cs="Times New Roman"/>
          <w:sz w:val="24"/>
          <w:szCs w:val="24"/>
        </w:rPr>
        <w:t>Восточной и Юго-Восточной Азии</w:t>
      </w:r>
      <w:r w:rsidRPr="00203D6B">
        <w:rPr>
          <w:rFonts w:ascii="Times New Roman" w:hAnsi="Times New Roman" w:cs="Times New Roman"/>
          <w:sz w:val="24"/>
          <w:szCs w:val="24"/>
        </w:rPr>
        <w:t xml:space="preserve"> в 2000–2020-е гг. является устойчивым, положительным и носит преимущественно качественный, а не только количественный характер. Главным каналом влияния выступает институциональная составляющая </w:t>
      </w:r>
      <w:r w:rsidR="00741E5F">
        <w:rPr>
          <w:rFonts w:ascii="Times New Roman" w:hAnsi="Times New Roman" w:cs="Times New Roman"/>
          <w:sz w:val="24"/>
          <w:szCs w:val="24"/>
        </w:rPr>
        <w:t>–</w:t>
      </w:r>
      <w:r w:rsidRPr="00203D6B">
        <w:rPr>
          <w:rFonts w:ascii="Times New Roman" w:hAnsi="Times New Roman" w:cs="Times New Roman"/>
          <w:sz w:val="24"/>
          <w:szCs w:val="24"/>
        </w:rPr>
        <w:t xml:space="preserve"> реформы, повышающие качество государственного управления, прозрачность и предсказуемость регуляторной среды.  Обнаруженная региональная гетерогенность подтверждает необходимость дифференцированного подхода в политике: развивающимся странам необходимо сосредоточиться на базовой институциональной стабилизации для привлечения ПИИ, а развитым – на стимулировании инноваций и укреплении технологического лидерства. </w:t>
      </w:r>
    </w:p>
    <w:p w14:paraId="1F32212D" w14:textId="572C1379" w:rsidR="007212F5" w:rsidRDefault="007212F5" w:rsidP="0004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14:paraId="50F3E4AB" w14:textId="34D9B15C" w:rsidR="007212F5" w:rsidRDefault="007212F5" w:rsidP="00721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F5">
        <w:rPr>
          <w:rFonts w:ascii="Times New Roman" w:hAnsi="Times New Roman" w:cs="Times New Roman"/>
          <w:sz w:val="24"/>
          <w:szCs w:val="24"/>
          <w:lang w:val="en-US"/>
        </w:rPr>
        <w:t xml:space="preserve">Solow, R. M. (1956). A contribution to the theory of economic growth. </w:t>
      </w:r>
      <w:r w:rsidRPr="007212F5">
        <w:rPr>
          <w:rFonts w:ascii="Times New Roman" w:hAnsi="Times New Roman" w:cs="Times New Roman"/>
          <w:sz w:val="24"/>
          <w:szCs w:val="24"/>
        </w:rPr>
        <w:t>The Quarterly Journal of Economics, 70(1), 65–94.</w:t>
      </w:r>
    </w:p>
    <w:p w14:paraId="1E75DEA8" w14:textId="5EB7BADF" w:rsidR="007212F5" w:rsidRDefault="007212F5" w:rsidP="00721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2F5">
        <w:rPr>
          <w:rFonts w:ascii="Times New Roman" w:hAnsi="Times New Roman" w:cs="Times New Roman"/>
          <w:sz w:val="24"/>
          <w:szCs w:val="24"/>
          <w:lang w:val="en-US"/>
        </w:rPr>
        <w:t xml:space="preserve">Romer, P. (1990). Endogenous technological change. </w:t>
      </w:r>
      <w:r w:rsidRPr="007212F5">
        <w:rPr>
          <w:rFonts w:ascii="Times New Roman" w:hAnsi="Times New Roman" w:cs="Times New Roman"/>
          <w:sz w:val="24"/>
          <w:szCs w:val="24"/>
        </w:rPr>
        <w:t>Journal of Political Economy, 98(5), 71–102.</w:t>
      </w:r>
    </w:p>
    <w:p w14:paraId="4988F07A" w14:textId="25E6C0A9" w:rsidR="007212F5" w:rsidRDefault="007212F5" w:rsidP="007212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12F5">
        <w:rPr>
          <w:rFonts w:ascii="Times New Roman" w:hAnsi="Times New Roman" w:cs="Times New Roman"/>
          <w:sz w:val="24"/>
          <w:szCs w:val="24"/>
          <w:lang w:val="en-US"/>
        </w:rPr>
        <w:t>Rodrik, D. (2016). Premature Deindustrialization. Journal of Economic Growth, 21, 1-33.</w:t>
      </w:r>
    </w:p>
    <w:p w14:paraId="7AFD2ED7" w14:textId="01A18BE4" w:rsidR="007212F5" w:rsidRPr="00C33EA7" w:rsidRDefault="007212F5" w:rsidP="00C33E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12F5">
        <w:rPr>
          <w:rFonts w:ascii="Times New Roman" w:hAnsi="Times New Roman" w:cs="Times New Roman"/>
          <w:sz w:val="24"/>
          <w:szCs w:val="24"/>
          <w:lang w:val="en-US"/>
        </w:rPr>
        <w:t>Djankov</w:t>
      </w:r>
      <w:proofErr w:type="spellEnd"/>
      <w:r w:rsidRPr="007212F5">
        <w:rPr>
          <w:rFonts w:ascii="Times New Roman" w:hAnsi="Times New Roman" w:cs="Times New Roman"/>
          <w:sz w:val="24"/>
          <w:szCs w:val="24"/>
          <w:lang w:val="en-US"/>
        </w:rPr>
        <w:t>, Simeon, Rafael La Porta, Florencio Lopez-de-Silanes, and Andrei Shleifer, “The Regulation of Entry,” Quarterly Journal of Economics, 117 (2002), 1–37.</w:t>
      </w:r>
    </w:p>
    <w:sectPr w:rsidR="007212F5" w:rsidRPr="00C33EA7" w:rsidSect="00043DE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76AD5"/>
    <w:multiLevelType w:val="hybridMultilevel"/>
    <w:tmpl w:val="896EB9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7D"/>
    <w:rsid w:val="00043DE6"/>
    <w:rsid w:val="00200097"/>
    <w:rsid w:val="00203D6B"/>
    <w:rsid w:val="003F42F7"/>
    <w:rsid w:val="004B3178"/>
    <w:rsid w:val="007212F5"/>
    <w:rsid w:val="00741E5F"/>
    <w:rsid w:val="008C7A7D"/>
    <w:rsid w:val="00C33EA7"/>
    <w:rsid w:val="00CE48B6"/>
    <w:rsid w:val="00F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7049"/>
  <w15:chartTrackingRefBased/>
  <w15:docId w15:val="{97EFFB59-97E4-40E6-9B8F-C4453C77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BP_Anastasiya Mikisheva</dc:creator>
  <cp:keywords/>
  <dc:description/>
  <cp:lastModifiedBy>BP_Anastasiya Mikisheva</cp:lastModifiedBy>
  <cp:revision>2</cp:revision>
  <dcterms:created xsi:type="dcterms:W3CDTF">2026-03-09T15:48:00Z</dcterms:created>
  <dcterms:modified xsi:type="dcterms:W3CDTF">2026-03-09T16:57:00Z</dcterms:modified>
</cp:coreProperties>
</file>