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Людические и нарративные функции номинации интерактивных объектов во внутриигровом ландшафте</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Наталич В.Р.</w:t>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Студент-бакалавр</w:t>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имени М.В. Ломоносова, Факультет иностранных языков и регионоведения, Москва, Россия</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valeriarnatalich@gmail.com</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фоне того, как возрастает интерес к видеоиграм как к источнику эмпирических данных о воспроизводимых носителями той или иной культуры представлениях о своих или других традициях и моделях поведения, практически неосвещённой остаётся ономастическая сторона игрового дизайна. При том, что достаточно много междисциплинарных исследований на пересечении ономастики и культурной антропологии концентрируются на тенденциях в подборе имени персонажа со стороны игроков многопользовательских игр или же на этимологии имён отдельных персонажей из игрового мира, крайне мало работ описывают ономастикон игры как целостную систему, где каждый компонент рассматривается в связке с остальными.</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следующем исследовании предлагается сместить фокус с этимологического разбора на структурный анализ топонимического ландшафта игр, чьё нарративное устройство предполагает наличие достаточно большой, доступной к исследованию карты, каковыми являются фэнтезийные и научно-фантастические ролевые компьютерные игры. Также целесообразным можно считать рассмотрение топонимов в совокупности с хрематонимами, так как вместе они образуют внутриигровое интерактивное пространство, отделяемое в игровом интерфейсе от фоновых текстур и паравербально маркируемое для игрока как людически важное. В связи с такой формулировкой можно выделить следующие разделы в классификации интересующих нас наименований по функции: дискретизирующая (обособляющая), навигационная, информирующая, мироконструирующая.</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функция заложена уже в сам акт номинации, так как присвоение объекту имени в ролевой компьютерной игре привлекает внимание игрока, сообщая ему, что названный пространственный сегмент игры - содержимое так называемого “острова” (англ. </w:t>
      </w:r>
      <w:r w:rsidDel="00000000" w:rsidR="00000000" w:rsidRPr="00000000">
        <w:rPr>
          <w:rFonts w:ascii="Times New Roman" w:cs="Times New Roman" w:eastAsia="Times New Roman" w:hAnsi="Times New Roman"/>
          <w:i w:val="1"/>
          <w:iCs w:val="1"/>
          <w:sz w:val="24"/>
          <w:szCs w:val="24"/>
          <w:rtl w:val="0"/>
        </w:rPr>
        <w:t xml:space="preserve">island</w:t>
      </w:r>
      <w:r w:rsidDel="00000000" w:rsidR="00000000" w:rsidRPr="00000000">
        <w:rPr>
          <w:rFonts w:ascii="Times New Roman" w:cs="Times New Roman" w:eastAsia="Times New Roman" w:hAnsi="Times New Roman"/>
          <w:sz w:val="24"/>
          <w:szCs w:val="24"/>
          <w:rtl w:val="0"/>
        </w:rPr>
        <w:t xml:space="preserve">) - имеет повышенную людическую плотность, что противопоставляет его менее насыщенному интерактивными элементами пространству “мостов” (англ. </w:t>
      </w:r>
      <w:r w:rsidDel="00000000" w:rsidR="00000000" w:rsidRPr="00000000">
        <w:rPr>
          <w:rFonts w:ascii="Times New Roman" w:cs="Times New Roman" w:eastAsia="Times New Roman" w:hAnsi="Times New Roman"/>
          <w:i w:val="1"/>
          <w:iCs w:val="1"/>
          <w:sz w:val="24"/>
          <w:szCs w:val="24"/>
          <w:rtl w:val="0"/>
        </w:rPr>
        <w:t xml:space="preserve">bridges</w:t>
      </w:r>
      <w:r w:rsidDel="00000000" w:rsidR="00000000" w:rsidRPr="00000000">
        <w:rPr>
          <w:rFonts w:ascii="Times New Roman" w:cs="Times New Roman" w:eastAsia="Times New Roman" w:hAnsi="Times New Roman"/>
          <w:sz w:val="24"/>
          <w:szCs w:val="24"/>
          <w:rtl w:val="0"/>
        </w:rPr>
        <w:t xml:space="preserve">) между топонимами-маркерами. [1]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функция связана с необходимостью дать игроку указания насчёт пространственных ориентиров с той или иной степенью конкретизации и поисковой автономии при выполнении квестов, а также облегчить поиск конкретных квестовых предметов. Если первое перекликается с механизмами построения реальных топонимических сетей, то второе обосновано особенностями жанра, где требование найти конкретный предмет можно считать осуществимым только лишь если название предмета станет известно игроку при наведении на него курсора или при аналогичном недиегетическом (англ. </w:t>
      </w:r>
      <w:r w:rsidDel="00000000" w:rsidR="00000000" w:rsidRPr="00000000">
        <w:rPr>
          <w:rFonts w:ascii="Times New Roman" w:cs="Times New Roman" w:eastAsia="Times New Roman" w:hAnsi="Times New Roman"/>
          <w:i w:val="1"/>
          <w:iCs w:val="1"/>
          <w:sz w:val="24"/>
          <w:szCs w:val="24"/>
          <w:rtl w:val="0"/>
        </w:rPr>
        <w:t xml:space="preserve">non-diegetic</w:t>
      </w:r>
      <w:r w:rsidDel="00000000" w:rsidR="00000000" w:rsidRPr="00000000">
        <w:rPr>
          <w:rFonts w:ascii="Times New Roman" w:cs="Times New Roman" w:eastAsia="Times New Roman" w:hAnsi="Times New Roman"/>
          <w:sz w:val="24"/>
          <w:szCs w:val="24"/>
          <w:rtl w:val="0"/>
        </w:rPr>
        <w:t xml:space="preserve">) действии.</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Значение третьей функции заключается в том, чтобы диегетически и недиегетически донести до игрока ономастическими средствами сведения о том, какие противники могут находиться в той или иной локации, какими скрытыми параметрами может обладать тот или иной предмет экипировки [2] и, как сумма предшествующих выводов, относится ли рассматриваемый объект к низкоуровневому или высокоуровневому (предназначенному для прохождения на ранних или поздних этапах игры) контенту. Способность игрока правильно интерпретировать недиегетические знаки зависит от глубины его предыдущего игрового опыта; что же касается диегетических знаков, то связанные с ними навыки приобретаются через последовательное изучение внутренних законов игрового мира, оформляемых в том числе посредством мироконструирующих онимов.</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Наконец, последняя функция заполняет пробелы в фоновых знаниях игрока об истории и традициях внутриигровых народов и фракций, уменьшая тем самым разрыв в осведомлённости между ним и управляемым им персонажем. Можно говорить о том, что эта функция развивает лингвострановедческую компетенцию игрока в контексте вымышленного культурного ландшафта.</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совокупного анализа упомянутых групп онимов будет подробно описан спектр функций, выполняемых именованными статичными объектами в соответствии с целеполаганием разработчика и спецификой формата, что также позволит провести параллели с другими видами медиа и отметить возможности переноса методов игровой индустрии на практику именования реальных объектов.</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Актуальность</w:t>
      </w:r>
      <w:r w:rsidDel="00000000" w:rsidR="00000000" w:rsidRPr="00000000">
        <w:rPr>
          <w:rFonts w:ascii="Times New Roman" w:cs="Times New Roman" w:eastAsia="Times New Roman" w:hAnsi="Times New Roman"/>
          <w:sz w:val="24"/>
          <w:szCs w:val="24"/>
          <w:rtl w:val="0"/>
        </w:rPr>
        <w:t xml:space="preserve"> настоящего исследования обусловлена непропорциональностью репрезентации вымышленных миров, в особенности игровых, в топонимическом дискурсе, а также вытекающим из этого нераскрытым потенциалом для обогащения реальных номинативных практик через сопоставление с их медийными аналогами.</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w:t>
      </w:r>
      <w:r w:rsidDel="00000000" w:rsidR="00000000" w:rsidRPr="00000000">
        <w:rPr>
          <w:rFonts w:ascii="Times New Roman" w:cs="Times New Roman" w:eastAsia="Times New Roman" w:hAnsi="Times New Roman"/>
          <w:b w:val="1"/>
          <w:bCs w:val="1"/>
          <w:sz w:val="24"/>
          <w:szCs w:val="24"/>
          <w:rtl w:val="0"/>
        </w:rPr>
        <w:t xml:space="preserve">объекта</w:t>
      </w:r>
      <w:r w:rsidDel="00000000" w:rsidR="00000000" w:rsidRPr="00000000">
        <w:rPr>
          <w:rFonts w:ascii="Times New Roman" w:cs="Times New Roman" w:eastAsia="Times New Roman" w:hAnsi="Times New Roman"/>
          <w:sz w:val="24"/>
          <w:szCs w:val="24"/>
          <w:rtl w:val="0"/>
        </w:rPr>
        <w:t xml:space="preserve"> исследования были выбраны ономастиконы популярных компьютерных ролевых игр в жанрах фэнтези и научной фантастики, включая серии </w:t>
      </w:r>
      <w:r w:rsidDel="00000000" w:rsidR="00000000" w:rsidRPr="00000000">
        <w:rPr>
          <w:rFonts w:ascii="Times New Roman" w:cs="Times New Roman" w:eastAsia="Times New Roman" w:hAnsi="Times New Roman"/>
          <w:i w:val="1"/>
          <w:iCs w:val="1"/>
          <w:sz w:val="24"/>
          <w:szCs w:val="24"/>
          <w:rtl w:val="0"/>
        </w:rPr>
        <w:t xml:space="preserve">The Elder Scrolls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Baldur’s Gate</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iCs w:val="1"/>
          <w:sz w:val="24"/>
          <w:szCs w:val="24"/>
          <w:rtl w:val="0"/>
        </w:rPr>
        <w:t xml:space="preserve">Fallout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Предметом</w:t>
      </w:r>
      <w:r w:rsidDel="00000000" w:rsidR="00000000" w:rsidRPr="00000000">
        <w:rPr>
          <w:rFonts w:ascii="Times New Roman" w:cs="Times New Roman" w:eastAsia="Times New Roman" w:hAnsi="Times New Roman"/>
          <w:sz w:val="24"/>
          <w:szCs w:val="24"/>
          <w:rtl w:val="0"/>
        </w:rPr>
        <w:t xml:space="preserve"> исследования этой работы является степень реализации различных функций внутриигровых онимов в зависимости от их семантического наполнения и морфологического состава, сопоставимая с их местом в людическом и нарративном измерениях игры.</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Обозначенная </w:t>
      </w:r>
      <w:r w:rsidDel="00000000" w:rsidR="00000000" w:rsidRPr="00000000">
        <w:rPr>
          <w:rFonts w:ascii="Times New Roman" w:cs="Times New Roman" w:eastAsia="Times New Roman" w:hAnsi="Times New Roman"/>
          <w:b w:val="1"/>
          <w:bCs w:val="1"/>
          <w:sz w:val="24"/>
          <w:szCs w:val="24"/>
          <w:rtl w:val="0"/>
        </w:rPr>
        <w:t xml:space="preserve">цель</w:t>
      </w:r>
      <w:r w:rsidDel="00000000" w:rsidR="00000000" w:rsidRPr="00000000">
        <w:rPr>
          <w:rFonts w:ascii="Times New Roman" w:cs="Times New Roman" w:eastAsia="Times New Roman" w:hAnsi="Times New Roman"/>
          <w:sz w:val="24"/>
          <w:szCs w:val="24"/>
          <w:rtl w:val="0"/>
        </w:rPr>
        <w:t xml:space="preserve"> работы заключается в разработке обширной классификации игровых топонимов и хрематонимов по функциональному признаку и выявлении как соответствий образцам из реального мира, так и отклонений от них в пользу сугубо людических или нарративных характеристик.</w:t>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w:t>
      </w:r>
      <w:r w:rsidDel="00000000" w:rsidR="00000000" w:rsidRPr="00000000">
        <w:rPr>
          <w:rFonts w:ascii="Times New Roman" w:cs="Times New Roman" w:eastAsia="Times New Roman" w:hAnsi="Times New Roman"/>
          <w:b w:val="1"/>
          <w:bCs w:val="1"/>
          <w:sz w:val="24"/>
          <w:szCs w:val="24"/>
          <w:rtl w:val="0"/>
        </w:rPr>
        <w:t xml:space="preserve">практического материала</w:t>
      </w:r>
      <w:r w:rsidDel="00000000" w:rsidR="00000000" w:rsidRPr="00000000">
        <w:rPr>
          <w:rFonts w:ascii="Times New Roman" w:cs="Times New Roman" w:eastAsia="Times New Roman" w:hAnsi="Times New Roman"/>
          <w:sz w:val="24"/>
          <w:szCs w:val="24"/>
          <w:rtl w:val="0"/>
        </w:rPr>
        <w:t xml:space="preserve"> был использован корпус имён собственных, сформированный из комбинации диегетических, недиегетических и файловых (в случаях, когда сам код игры можно считать трансмедийным расширением игрового опыта) текстовых данных анализируемых игр.</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Данное исследование совмещает в себе </w:t>
      </w:r>
      <w:r w:rsidDel="00000000" w:rsidR="00000000" w:rsidRPr="00000000">
        <w:rPr>
          <w:rFonts w:ascii="Times New Roman" w:cs="Times New Roman" w:eastAsia="Times New Roman" w:hAnsi="Times New Roman"/>
          <w:b w:val="1"/>
          <w:bCs w:val="1"/>
          <w:sz w:val="24"/>
          <w:szCs w:val="24"/>
          <w:rtl w:val="0"/>
        </w:rPr>
        <w:t xml:space="preserve">теоретический материал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из ономастической сферы с типичными для людологии и нарратологии инструментами и терминами, берущими своё начало из работ Иэна Богоста и Йохана Хёйзинги.</w:t>
      </w:r>
    </w:p>
    <w:p w:rsidR="00000000" w:rsidDel="00000000" w:rsidP="00000000" w:rsidRDefault="00000000" w:rsidRPr="00000000" w14:paraId="0000001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Kuzmenko, Oleksandra. In-Game Toponyms: Telling the Story and Building the Video Game World. Kraków, 2023.</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Topolovec, Stjepan. The cultural and linguistic aspects of naming in fantasy video games. Osijek, 2012.</w:t>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