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000001">
      <w:pPr>
        <w:spacing w:line="240" w:lineRule="auto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rtl w:val="0"/>
        </w:rPr>
        <w:t>Коммуникативная креативность и критическое мышление</w:t>
      </w:r>
      <w:r>
        <w:rPr>
          <w:rFonts w:hint="default" w:ascii="Times New Roman" w:hAnsi="Times New Roman" w:eastAsia="Times New Roman" w:cs="Times New Roman"/>
          <w:b/>
          <w:bCs/>
          <w:sz w:val="24"/>
          <w:szCs w:val="24"/>
          <w:rtl w:val="0"/>
          <w:lang w:val="ru-RU"/>
        </w:rPr>
        <w:t xml:space="preserve"> </w:t>
      </w:r>
      <w:r>
        <w:rPr>
          <w:rFonts w:hint="default" w:ascii="Times New Roman" w:hAnsi="Times New Roman" w:eastAsia="Times New Roman"/>
          <w:b/>
          <w:bCs/>
          <w:sz w:val="24"/>
          <w:szCs w:val="24"/>
          <w:rtl w:val="0"/>
        </w:rPr>
        <w:t>в медийном сегменте бизнес-дискурса (на материале жанра интервью: английский и итальянский языки)</w:t>
      </w:r>
    </w:p>
    <w:p w14:paraId="7F963AA2">
      <w:pPr>
        <w:spacing w:line="240" w:lineRule="auto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  <w:rtl w:val="0"/>
        </w:rPr>
      </w:pPr>
    </w:p>
    <w:p w14:paraId="00000002">
      <w:pPr>
        <w:spacing w:line="240" w:lineRule="auto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rtl w:val="0"/>
        </w:rPr>
        <w:t xml:space="preserve">Научный руководитель - Бахтиозина Марина Георгиевна </w:t>
      </w:r>
    </w:p>
    <w:p w14:paraId="00000003">
      <w:pPr>
        <w:spacing w:line="240" w:lineRule="auto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rtl w:val="0"/>
        </w:rPr>
        <w:t xml:space="preserve"> </w:t>
      </w:r>
    </w:p>
    <w:p w14:paraId="00000004">
      <w:pPr>
        <w:spacing w:line="240" w:lineRule="auto"/>
        <w:jc w:val="center"/>
        <w:rPr>
          <w:rFonts w:ascii="Times New Roman" w:hAnsi="Times New Roman" w:eastAsia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i/>
          <w:iCs/>
          <w:sz w:val="24"/>
          <w:szCs w:val="24"/>
          <w:rtl w:val="0"/>
        </w:rPr>
        <w:t>Винокурова Нелли Александровна</w:t>
      </w:r>
    </w:p>
    <w:p w14:paraId="00000005">
      <w:pPr>
        <w:spacing w:line="240" w:lineRule="auto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rtl w:val="0"/>
        </w:rPr>
        <w:t xml:space="preserve"> </w:t>
      </w:r>
    </w:p>
    <w:p w14:paraId="00000006">
      <w:pPr>
        <w:spacing w:line="240" w:lineRule="auto"/>
        <w:jc w:val="center"/>
        <w:rPr>
          <w:rFonts w:ascii="Times New Roman" w:hAnsi="Times New Roman" w:eastAsia="Times New Roman" w:cs="Times New Roman"/>
          <w:i/>
          <w:iCs/>
          <w:sz w:val="24"/>
          <w:szCs w:val="24"/>
        </w:rPr>
      </w:pPr>
      <w:r>
        <w:rPr>
          <w:rFonts w:ascii="Times New Roman" w:hAnsi="Times New Roman" w:eastAsia="Times New Roman" w:cs="Times New Roman"/>
          <w:i/>
          <w:iCs/>
          <w:sz w:val="24"/>
          <w:szCs w:val="24"/>
          <w:rtl w:val="0"/>
        </w:rPr>
        <w:t>Студент (магистр) факультета иностранных языков и регионоведения, 2 курс, итал.</w:t>
      </w:r>
    </w:p>
    <w:p w14:paraId="00000007">
      <w:pPr>
        <w:spacing w:line="240" w:lineRule="auto"/>
        <w:jc w:val="center"/>
        <w:rPr>
          <w:rFonts w:ascii="Times New Roman" w:hAnsi="Times New Roman" w:eastAsia="Times New Roman" w:cs="Times New Roman"/>
          <w:i/>
          <w:iCs/>
          <w:sz w:val="24"/>
          <w:szCs w:val="24"/>
        </w:rPr>
      </w:pPr>
      <w:r>
        <w:rPr>
          <w:rFonts w:ascii="Times New Roman" w:hAnsi="Times New Roman" w:eastAsia="Times New Roman" w:cs="Times New Roman"/>
          <w:i/>
          <w:iCs/>
          <w:sz w:val="24"/>
          <w:szCs w:val="24"/>
          <w:rtl w:val="0"/>
        </w:rPr>
        <w:t xml:space="preserve"> </w:t>
      </w:r>
    </w:p>
    <w:p w14:paraId="00000008">
      <w:pPr>
        <w:spacing w:line="240" w:lineRule="auto"/>
        <w:jc w:val="center"/>
        <w:rPr>
          <w:rFonts w:ascii="Times New Roman" w:hAnsi="Times New Roman" w:eastAsia="Times New Roman" w:cs="Times New Roman"/>
          <w:i/>
          <w:iCs/>
          <w:sz w:val="24"/>
          <w:szCs w:val="24"/>
        </w:rPr>
      </w:pPr>
      <w:r>
        <w:rPr>
          <w:rFonts w:ascii="Times New Roman" w:hAnsi="Times New Roman" w:eastAsia="Times New Roman" w:cs="Times New Roman"/>
          <w:i/>
          <w:iCs/>
          <w:sz w:val="24"/>
          <w:szCs w:val="24"/>
          <w:rtl w:val="0"/>
        </w:rPr>
        <w:t>Московский государственный университет имени М. В. Ломоносова, Москва, Россия</w:t>
      </w:r>
    </w:p>
    <w:p w14:paraId="00000009">
      <w:pPr>
        <w:spacing w:line="240" w:lineRule="auto"/>
        <w:jc w:val="center"/>
        <w:rPr>
          <w:rFonts w:ascii="Times New Roman" w:hAnsi="Times New Roman" w:eastAsia="Times New Roman" w:cs="Times New Roman"/>
          <w:i/>
          <w:iCs/>
          <w:color w:val="1155CC"/>
          <w:sz w:val="24"/>
          <w:szCs w:val="24"/>
          <w:u w:val="single"/>
        </w:rPr>
      </w:pPr>
      <w:r>
        <w:rPr>
          <w:rFonts w:ascii="Times New Roman" w:hAnsi="Times New Roman" w:eastAsia="Times New Roman" w:cs="Times New Roman"/>
          <w:i/>
          <w:iCs/>
          <w:sz w:val="24"/>
          <w:szCs w:val="24"/>
          <w:rtl w:val="0"/>
        </w:rPr>
        <w:t xml:space="preserve">Email: </w:t>
      </w:r>
      <w:r>
        <w:rPr>
          <w:rFonts w:ascii="Times New Roman" w:hAnsi="Times New Roman" w:eastAsia="Times New Roman" w:cs="Times New Roman"/>
          <w:i/>
          <w:iCs/>
          <w:color w:val="1155CC"/>
          <w:sz w:val="24"/>
          <w:szCs w:val="24"/>
          <w:u w:val="single"/>
          <w:rtl w:val="0"/>
        </w:rPr>
        <w:t>Nelly1202@mail.ru</w:t>
      </w:r>
    </w:p>
    <w:p w14:paraId="0000000A">
      <w:pPr>
        <w:spacing w:line="24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rtl w:val="0"/>
        </w:rPr>
        <w:t xml:space="preserve"> </w:t>
      </w:r>
    </w:p>
    <w:p w14:paraId="7FA27039">
      <w:pPr>
        <w:pStyle w:val="11"/>
        <w:keepNext w:val="0"/>
        <w:keepLines w:val="0"/>
        <w:widowControl/>
        <w:suppressLineNumbers w:val="0"/>
        <w:jc w:val="both"/>
      </w:pPr>
      <w:bookmarkStart w:id="0" w:name="_gjdgxs" w:colFirst="0" w:colLast="0"/>
      <w:r>
        <w:t>Современная бизнес-среда требует от предпринимателей не только профессиональных знаний, но и способности адаптироваться к динамичным условиям рынка. Технологические изменения, глобализация и информационная насыщенность повышают сложность принимаемых решений и актуализируют развитие гибких когнитивных навыков. В условиях высокой конкуренции возрастает значение нестандартного мышления и умения анализировать альтернативные сценарии.</w:t>
      </w:r>
      <w:r>
        <w:rPr>
          <w:rFonts w:hint="default"/>
          <w:lang w:val="ru-RU"/>
        </w:rPr>
        <w:t xml:space="preserve"> </w:t>
      </w:r>
      <w:r>
        <w:t>Коммуникативная креативность и критическое мышление выступают важными инструментами поиска инновационных решений и стратегического управления. Они позволяют эффективно выстраивать деловую коммуникацию, оценивать риски и прогнозировать развитие бизнес-процессов. Согласно исследованиям, креативность и критическое мышление входят в число ключевых компетенций цифровой эпохи [Горьковая О.П., 2020].</w:t>
      </w:r>
    </w:p>
    <w:p w14:paraId="278F406A">
      <w:pPr>
        <w:pStyle w:val="11"/>
        <w:keepNext w:val="0"/>
        <w:keepLines w:val="0"/>
        <w:widowControl/>
        <w:suppressLineNumbers w:val="0"/>
        <w:jc w:val="both"/>
      </w:pPr>
      <w:r>
        <w:t>Коммуникативная креативность понимается как способность генерировать нестандартные идеи в процессе взаимодействия и адаптировать стратегии общения к профессиональному и культурному контексту [Кайда Л.Г., 2011]. Критическое мышление обеспечивает аналитическую обработку информации, оценку аргументов и минимизацию управленческих ошибок [Петров А.В., 2021]. Оба навыка формируются в процессе обучения и практики и рассматриваются как значимые факторы профессиональной эффективности.</w:t>
      </w:r>
    </w:p>
    <w:p w14:paraId="13E3604A">
      <w:pPr>
        <w:pStyle w:val="11"/>
        <w:keepNext w:val="0"/>
        <w:keepLines w:val="0"/>
        <w:widowControl/>
        <w:suppressLineNumbers w:val="0"/>
        <w:jc w:val="both"/>
      </w:pPr>
      <w:r>
        <w:t xml:space="preserve">Практическая часть исследования основана на лингвистическом анализе текстовой базы бизнес-интервью американских и итальянских предпринимателей. В американскую базу включены интервью руководителей компаний Whole Foods Market, Mars, Walmart, Standard Bank Group и Amazon, опубликованные в Harvard Business Review; в итальянскую — интервью из издания EconomyUp с представителями инновационных и инфраструктурных проектов. Анализ проводился на основе разработанной системы критериев, фиксирующих проявления коммуникативной креативности (метафоричность, лексическая инновация, риторические приёмы, прагматическая новизна, </w:t>
      </w:r>
      <w:bookmarkStart w:id="1" w:name="_GoBack"/>
      <w:bookmarkEnd w:id="1"/>
      <w:r>
        <w:t>интерактивность) и критического мышления (аргументационная структура, оценка доказательств, рефлексивность, дискурсивная осторожность, контр-дискурс).</w:t>
      </w:r>
    </w:p>
    <w:p w14:paraId="3678F565">
      <w:pPr>
        <w:pStyle w:val="11"/>
        <w:keepNext w:val="0"/>
        <w:keepLines w:val="0"/>
        <w:widowControl/>
        <w:suppressLineNumbers w:val="0"/>
        <w:jc w:val="both"/>
      </w:pPr>
      <w:r>
        <w:t>Анализ американских интервью показывает выраженную ориентацию на адаптацию сложных управленческих смыслов к публичному формату и активное вовлечение адресата в процесс рассуждения. Критическое мышление проявляется через развернутую аргументацию, апелляцию к данным и рефлексивное осмысление стратегических решений.</w:t>
      </w:r>
      <w:r>
        <w:rPr>
          <w:rFonts w:hint="default"/>
          <w:lang w:val="ru-RU"/>
        </w:rPr>
        <w:t xml:space="preserve"> </w:t>
      </w:r>
      <w:r>
        <w:t>Итальянские интервью демонстрируют институционально-экспертный характер инновационного дискурса, ориентированного на легитимацию проектов через терминологическую точность и экономическую обоснованность. Интерактивность и полемическая направленность выражены менее активно, что указывает на более сдержанную адресатную стратегию.</w:t>
      </w:r>
      <w:r>
        <w:rPr>
          <w:rFonts w:hint="default"/>
          <w:lang w:val="ru-RU"/>
        </w:rPr>
        <w:t xml:space="preserve"> </w:t>
      </w:r>
      <w:r>
        <w:t>Сопоставительный анализ позволяет говорить о функциональной взаимосвязи коммуникативной креативности и критического мышления: креативные средства обеспечивают персуазивность и адаптацию управленческих смыслов, тогда как критическое мышление гарантирует логическую связность и доказательность бизнес-аргументации.</w:t>
      </w:r>
    </w:p>
    <w:p w14:paraId="0000001A">
      <w:pPr>
        <w:pStyle w:val="11"/>
        <w:keepNext w:val="0"/>
        <w:keepLines w:val="0"/>
        <w:widowControl/>
        <w:suppressLineNumbers w:val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  <w:rtl w:val="0"/>
        </w:rPr>
        <w:t>Новизна данной работы заключается в интеграции понятий коммуникативной креативности и критического мышления в контексте дискурсивного анализа предпринимательской деятельности. Данные когнитивные способности не только дополняют жесткие навыки, но и становятся необходимыми в современных реалиях высокой конкуренции и информационной насыщенности. Их развитие способствует повышению эффективности предпринимательских решений и формированию новых бизнес-моделей, ориентированных на инновации и адаптацию.</w:t>
      </w:r>
    </w:p>
    <w:p w14:paraId="21BCB715">
      <w:pPr>
        <w:keepNext w:val="0"/>
        <w:keepLines w:val="0"/>
        <w:pageBreakBefore w:val="0"/>
        <w:widowControl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fill="auto"/>
        <w:spacing w:before="0" w:after="0" w:line="240" w:lineRule="auto"/>
        <w:ind w:left="0" w:right="0" w:firstLine="0"/>
        <w:jc w:val="left"/>
        <w:rPr>
          <w:rFonts w:ascii="Times New Roman" w:hAnsi="Times New Roman" w:eastAsia="Times New Roman" w:cs="Times New Roman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  <w:rtl w:val="0"/>
        </w:rPr>
      </w:pPr>
    </w:p>
    <w:p w14:paraId="0000001B">
      <w:pPr>
        <w:keepNext w:val="0"/>
        <w:keepLines w:val="0"/>
        <w:pageBreakBefore w:val="0"/>
        <w:widowControl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fill="auto"/>
        <w:spacing w:before="0" w:after="0" w:line="240" w:lineRule="auto"/>
        <w:ind w:left="0" w:right="0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  <w:rtl w:val="0"/>
        </w:rPr>
        <w:t>Литература</w:t>
      </w:r>
    </w:p>
    <w:bookmarkEnd w:id="0"/>
    <w:p w14:paraId="7132D8AC">
      <w:pPr>
        <w:pStyle w:val="11"/>
        <w:keepNext w:val="0"/>
        <w:keepLines w:val="0"/>
        <w:widowControl/>
        <w:numPr>
          <w:ilvl w:val="0"/>
          <w:numId w:val="1"/>
        </w:numPr>
        <w:suppressLineNumbers w:val="0"/>
        <w:ind w:left="425" w:leftChars="0" w:hanging="425" w:firstLineChars="0"/>
      </w:pPr>
      <w:r>
        <w:t>Ануфриева Т.Н. Контент-анализ понятия «гибкие навыки» (soft skills). – Томск: НИ ТПУ, 2019.</w:t>
      </w:r>
    </w:p>
    <w:p w14:paraId="0906049E">
      <w:pPr>
        <w:pStyle w:val="11"/>
        <w:keepNext w:val="0"/>
        <w:keepLines w:val="0"/>
        <w:widowControl/>
        <w:numPr>
          <w:ilvl w:val="0"/>
          <w:numId w:val="1"/>
        </w:numPr>
        <w:suppressLineNumbers w:val="0"/>
        <w:ind w:left="425" w:leftChars="0" w:hanging="425" w:firstLineChars="0"/>
      </w:pPr>
      <w:r>
        <w:t>Вагаева О.А., Галимуллина Н.М. Формирование «мягких навыков» как фактор конкурентоспособности будущих специалистов // ЦИТИСЭ, 2023.</w:t>
      </w:r>
    </w:p>
    <w:p w14:paraId="50F11CFF">
      <w:pPr>
        <w:pStyle w:val="11"/>
        <w:keepNext w:val="0"/>
        <w:keepLines w:val="0"/>
        <w:widowControl/>
        <w:numPr>
          <w:ilvl w:val="0"/>
          <w:numId w:val="1"/>
        </w:numPr>
        <w:suppressLineNumbers w:val="0"/>
        <w:ind w:left="425" w:leftChars="0" w:hanging="425" w:firstLineChars="0"/>
      </w:pPr>
      <w:r>
        <w:t>Горьковая О.П., Козловский Н.В., Матыкина В.С., Петров А.В. «Soft Skills»: в поиске универсальных трактовок «гибких» навыков современных работников. – М.: Экономика, 2020.</w:t>
      </w:r>
    </w:p>
    <w:p w14:paraId="10AE7D4C">
      <w:pPr>
        <w:pStyle w:val="11"/>
        <w:keepNext w:val="0"/>
        <w:keepLines w:val="0"/>
        <w:widowControl/>
        <w:numPr>
          <w:ilvl w:val="0"/>
          <w:numId w:val="1"/>
        </w:numPr>
        <w:suppressLineNumbers w:val="0"/>
        <w:ind w:left="425" w:leftChars="0" w:hanging="425" w:firstLineChars="0"/>
      </w:pPr>
      <w:r>
        <w:t>Дмитренко В.Е., Плескачева Н.М. Гибкие навыки в предпринимательской среде: анализ и перспективы. – Минск: БГУ, 2022.</w:t>
      </w:r>
    </w:p>
    <w:p w14:paraId="1F47BDB4">
      <w:pPr>
        <w:pStyle w:val="11"/>
        <w:keepNext w:val="0"/>
        <w:keepLines w:val="0"/>
        <w:widowControl/>
        <w:numPr>
          <w:ilvl w:val="0"/>
          <w:numId w:val="1"/>
        </w:numPr>
        <w:suppressLineNumbers w:val="0"/>
        <w:ind w:left="425" w:leftChars="0" w:hanging="425" w:firstLineChars="0"/>
      </w:pPr>
      <w:r>
        <w:t>Карасик В. И. Языковой круг: личность, концепты, дискурс. – Волгоград: Перемена, 2002. – 477 с.</w:t>
      </w:r>
    </w:p>
    <w:p w14:paraId="425E8FE0">
      <w:pPr>
        <w:pStyle w:val="11"/>
        <w:keepNext w:val="0"/>
        <w:keepLines w:val="0"/>
        <w:widowControl/>
        <w:numPr>
          <w:ilvl w:val="0"/>
          <w:numId w:val="1"/>
        </w:numPr>
        <w:suppressLineNumbers w:val="0"/>
        <w:ind w:left="425" w:leftChars="0" w:hanging="425" w:firstLineChars="0"/>
      </w:pPr>
      <w:r>
        <w:t>Кайда Л.Г. Интегральная композиция как концепт эстетического пространства медиатекста. – М.: РИВШ, 2011.</w:t>
      </w:r>
    </w:p>
    <w:p w14:paraId="702B98F8">
      <w:pPr>
        <w:pStyle w:val="11"/>
        <w:keepNext w:val="0"/>
        <w:keepLines w:val="0"/>
        <w:widowControl/>
        <w:numPr>
          <w:ilvl w:val="0"/>
          <w:numId w:val="1"/>
        </w:numPr>
        <w:suppressLineNumbers w:val="0"/>
        <w:ind w:left="425" w:leftChars="0" w:hanging="425" w:firstLineChars="0"/>
      </w:pPr>
      <w:r>
        <w:t>Петров А.В., Иванова Л.С., Якушева О.Н. Влияние критического мышления на принятие решений в предпринимательской деятельности. – СПб.: Изд-во СПбГУ, 2021.</w:t>
      </w:r>
    </w:p>
    <w:p w14:paraId="4AA326E7">
      <w:pPr>
        <w:pStyle w:val="11"/>
        <w:keepNext w:val="0"/>
        <w:keepLines w:val="0"/>
        <w:widowControl/>
        <w:numPr>
          <w:ilvl w:val="0"/>
          <w:numId w:val="1"/>
        </w:numPr>
        <w:suppressLineNumbers w:val="0"/>
        <w:ind w:left="425" w:leftChars="0" w:hanging="425" w:firstLineChars="0"/>
      </w:pPr>
      <w:r>
        <w:t>Сахнова Е.Б. Жанр интервью и его модификации // Известия Саратовского университета. Новая серия. Серия: Филология. Журналистика. – 2013. – Т. 13, вып. 4. – С. 97–103.</w:t>
      </w:r>
    </w:p>
    <w:p w14:paraId="00000022">
      <w:pPr>
        <w:pStyle w:val="11"/>
        <w:keepNext w:val="0"/>
        <w:keepLines w:val="0"/>
        <w:widowControl/>
        <w:numPr>
          <w:ilvl w:val="0"/>
          <w:numId w:val="1"/>
        </w:numPr>
        <w:suppressLineNumbers w:val="0"/>
        <w:ind w:left="425" w:leftChars="0" w:hanging="425" w:firstLineChars="0"/>
        <w:rPr>
          <w:rFonts w:ascii="Times New Roman" w:hAnsi="Times New Roman" w:eastAsia="Times New Roman" w:cs="Times New Roman"/>
          <w:sz w:val="24"/>
          <w:szCs w:val="24"/>
        </w:rPr>
      </w:pPr>
      <w:r>
        <w:t>Platt J. Handbook of Interview Research: Context and Methods / Ed. by J.F. Gubrium, J.A. Holstein. – Sage, 2001. – P. 33–54.</w:t>
      </w:r>
    </w:p>
    <w:sectPr>
      <w:pgSz w:w="11909" w:h="16834"/>
      <w:pgMar w:top="1134" w:right="1361" w:bottom="1134" w:left="1361" w:header="720" w:footer="720" w:gutter="0"/>
      <w:pgNumType w:start="1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1" w:fontKey="{5D6C9FBA-E6A0-488A-8FD9-0CF45EF12B84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2" w:fontKey="{7B09FB0F-1D3D-4172-9973-3E037A79619C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3" w:fontKey="{E02FE064-89BF-4683-8EFC-FECC04330C46}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4" w:fontKey="{A5A780A2-5335-4DF5-8085-14342F3EA4E8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2C54CEC0-4917-42E0-AFC7-FFD8448891D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76" w:lineRule="auto"/>
      </w:pPr>
      <w:r>
        <w:separator/>
      </w:r>
    </w:p>
  </w:footnote>
  <w:footnote w:type="continuationSeparator" w:id="1">
    <w:p>
      <w:pPr>
        <w:spacing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0023E1A"/>
    <w:multiLevelType w:val="singleLevel"/>
    <w:tmpl w:val="50023E1A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compatSetting w:name="compatibilityMode" w:uri="http://schemas.microsoft.com/office/word" w:val="15"/>
  </w:compat>
  <w:rsids>
    <w:rsidRoot w:val="00000000"/>
    <w:rsid w:val="2ADA2DDD"/>
    <w:rsid w:val="5E7415C9"/>
    <w:rsid w:val="794E0A2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uiPriority w:val="0"/>
    <w:pPr>
      <w:spacing w:line="276" w:lineRule="auto"/>
    </w:pPr>
    <w:rPr>
      <w:rFonts w:ascii="Arial" w:hAnsi="Arial" w:eastAsia="Arial" w:cs="Arial"/>
      <w:sz w:val="22"/>
      <w:szCs w:val="22"/>
      <w:lang w:val="ru"/>
    </w:rPr>
  </w:style>
  <w:style w:type="paragraph" w:styleId="2">
    <w:name w:val="heading 1"/>
    <w:basedOn w:val="1"/>
    <w:next w:val="1"/>
    <w:qFormat/>
    <w:uiPriority w:val="0"/>
    <w:pPr>
      <w:keepNext/>
      <w:keepLines/>
      <w:pageBreakBefore w:val="0"/>
      <w:spacing w:before="400" w:after="120"/>
    </w:pPr>
    <w:rPr>
      <w:sz w:val="40"/>
      <w:szCs w:val="40"/>
    </w:rPr>
  </w:style>
  <w:style w:type="paragraph" w:styleId="3">
    <w:name w:val="heading 2"/>
    <w:basedOn w:val="1"/>
    <w:next w:val="1"/>
    <w:qFormat/>
    <w:uiPriority w:val="0"/>
    <w:pPr>
      <w:keepNext/>
      <w:keepLines/>
      <w:pageBreakBefore w:val="0"/>
      <w:spacing w:before="360" w:after="120"/>
    </w:pPr>
    <w:rPr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pageBreakBefore w:val="0"/>
      <w:spacing w:before="320" w:after="80"/>
    </w:pPr>
    <w:rPr>
      <w:color w:val="434343"/>
      <w:sz w:val="28"/>
      <w:szCs w:val="28"/>
    </w:rPr>
  </w:style>
  <w:style w:type="paragraph" w:styleId="5">
    <w:name w:val="heading 4"/>
    <w:basedOn w:val="1"/>
    <w:next w:val="1"/>
    <w:qFormat/>
    <w:uiPriority w:val="0"/>
    <w:pPr>
      <w:keepNext/>
      <w:keepLines/>
      <w:pageBreakBefore w:val="0"/>
      <w:spacing w:before="280" w:after="80"/>
    </w:pPr>
    <w:rPr>
      <w:color w:val="666666"/>
      <w:sz w:val="24"/>
      <w:szCs w:val="24"/>
    </w:rPr>
  </w:style>
  <w:style w:type="paragraph" w:styleId="6">
    <w:name w:val="heading 5"/>
    <w:basedOn w:val="1"/>
    <w:next w:val="1"/>
    <w:qFormat/>
    <w:uiPriority w:val="0"/>
    <w:pPr>
      <w:keepNext/>
      <w:keepLines/>
      <w:pageBreakBefore w:val="0"/>
      <w:spacing w:before="240" w:after="80"/>
    </w:pPr>
    <w:rPr>
      <w:color w:val="666666"/>
      <w:sz w:val="22"/>
      <w:szCs w:val="22"/>
    </w:rPr>
  </w:style>
  <w:style w:type="paragraph" w:styleId="7">
    <w:name w:val="heading 6"/>
    <w:basedOn w:val="1"/>
    <w:next w:val="1"/>
    <w:qFormat/>
    <w:uiPriority w:val="0"/>
    <w:pPr>
      <w:keepNext/>
      <w:keepLines/>
      <w:pageBreakBefore w:val="0"/>
      <w:spacing w:before="240" w:after="80"/>
    </w:pPr>
    <w:rPr>
      <w:i/>
      <w:iCs/>
      <w:color w:val="666666"/>
      <w:sz w:val="22"/>
      <w:szCs w:val="22"/>
    </w:rPr>
  </w:style>
  <w:style w:type="character" w:default="1" w:styleId="8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Title"/>
    <w:basedOn w:val="1"/>
    <w:next w:val="1"/>
    <w:qFormat/>
    <w:uiPriority w:val="0"/>
    <w:pPr>
      <w:keepNext/>
      <w:keepLines/>
      <w:pageBreakBefore w:val="0"/>
      <w:spacing w:before="0" w:after="60"/>
    </w:pPr>
    <w:rPr>
      <w:sz w:val="52"/>
      <w:szCs w:val="52"/>
    </w:rPr>
  </w:style>
  <w:style w:type="paragraph" w:styleId="11">
    <w:name w:val="Normal (Web)"/>
    <w:qFormat/>
    <w:uiPriority w:val="0"/>
    <w:pPr>
      <w:spacing w:before="0" w:beforeAutospacing="1" w:after="0" w:afterAutospacing="1"/>
      <w:ind w:left="0" w:right="0"/>
      <w:jc w:val="left"/>
    </w:pPr>
    <w:rPr>
      <w:rFonts w:ascii="Times New Roman" w:hAnsi="Times New Roman" w:eastAsia="SimSun" w:cs="Times New Roman"/>
      <w:kern w:val="0"/>
      <w:sz w:val="24"/>
      <w:szCs w:val="24"/>
      <w:lang w:val="en-US" w:eastAsia="zh-CN" w:bidi="ar"/>
    </w:rPr>
  </w:style>
  <w:style w:type="paragraph" w:styleId="12">
    <w:name w:val="Subtitle"/>
    <w:basedOn w:val="1"/>
    <w:next w:val="1"/>
    <w:qFormat/>
    <w:uiPriority w:val="0"/>
    <w:pPr>
      <w:keepNext/>
      <w:keepLines/>
      <w:pageBreakBefore w:val="0"/>
      <w:spacing w:before="0" w:after="320"/>
    </w:pPr>
    <w:rPr>
      <w:rFonts w:ascii="Arial" w:hAnsi="Arial" w:eastAsia="Arial" w:cs="Arial"/>
      <w:color w:val="666666"/>
      <w:sz w:val="30"/>
      <w:szCs w:val="30"/>
    </w:rPr>
  </w:style>
  <w:style w:type="table" w:customStyle="1" w:styleId="13">
    <w:name w:val="TableNormal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Pages>2</Pages>
  <TotalTime>3</TotalTime>
  <ScaleCrop>false</ScaleCrop>
  <LinksUpToDate>false</LinksUpToDate>
  <Application>WPS Office_12.2.0.23196_F1E327BC-269C-435d-A152-05C5408002CA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2026-03-01T15:25:00Z</dcterms:created>
  <dc:creator>remel</dc:creator>
  <cp:lastModifiedBy>remel</cp:lastModifiedBy>
  <dcterms:modified xsi:type="dcterms:W3CDTF">2026-03-01T19:28:42Z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835A7559A34C4B73A171332DD8595F4D_13</vt:lpwstr>
  </property>
</Properties>
</file>