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1B3" w:rsidRPr="00D4212D" w:rsidRDefault="2A6417BC" w:rsidP="00CC75CF">
      <w:pPr>
        <w:keepNext/>
        <w:keepLines/>
        <w:ind w:right="-1"/>
        <w:jc w:val="center"/>
        <w:rPr>
          <w:b/>
          <w:bCs/>
          <w:sz w:val="24"/>
          <w:szCs w:val="24"/>
          <w:highlight w:val="white"/>
        </w:rPr>
      </w:pPr>
      <w:r w:rsidRPr="00D4212D">
        <w:rPr>
          <w:b/>
          <w:bCs/>
          <w:sz w:val="24"/>
          <w:szCs w:val="24"/>
          <w:highlight w:val="white"/>
        </w:rPr>
        <w:t>Стабилизация осаждения металлического лития в «</w:t>
      </w:r>
      <w:proofErr w:type="spellStart"/>
      <w:r w:rsidRPr="00D4212D">
        <w:rPr>
          <w:b/>
          <w:bCs/>
          <w:sz w:val="24"/>
          <w:szCs w:val="24"/>
          <w:highlight w:val="white"/>
        </w:rPr>
        <w:t>безанодных</w:t>
      </w:r>
      <w:proofErr w:type="spellEnd"/>
      <w:r w:rsidRPr="00D4212D">
        <w:rPr>
          <w:b/>
          <w:bCs/>
          <w:sz w:val="24"/>
          <w:szCs w:val="24"/>
          <w:highlight w:val="white"/>
        </w:rPr>
        <w:t xml:space="preserve">» </w:t>
      </w:r>
      <w:proofErr w:type="spellStart"/>
      <w:r w:rsidRPr="00D4212D">
        <w:rPr>
          <w:b/>
          <w:bCs/>
          <w:sz w:val="24"/>
          <w:szCs w:val="24"/>
          <w:highlight w:val="white"/>
        </w:rPr>
        <w:t>квазитвердотельных</w:t>
      </w:r>
      <w:proofErr w:type="spellEnd"/>
      <w:r w:rsidRPr="00D4212D">
        <w:rPr>
          <w:b/>
          <w:bCs/>
          <w:sz w:val="24"/>
          <w:szCs w:val="24"/>
          <w:highlight w:val="white"/>
        </w:rPr>
        <w:t xml:space="preserve"> литиевых аккумуляторах</w:t>
      </w:r>
    </w:p>
    <w:p w:rsidR="003301B3" w:rsidRPr="00D4212D" w:rsidRDefault="2A6417BC" w:rsidP="00CC75CF">
      <w:pPr>
        <w:keepNext/>
        <w:widowControl w:val="0"/>
        <w:ind w:right="-1"/>
        <w:jc w:val="center"/>
        <w:rPr>
          <w:b/>
          <w:bCs/>
          <w:i/>
          <w:iCs/>
          <w:color w:val="000000"/>
          <w:sz w:val="24"/>
          <w:szCs w:val="24"/>
        </w:rPr>
      </w:pPr>
      <w:r w:rsidRPr="00D4212D">
        <w:rPr>
          <w:b/>
          <w:bCs/>
          <w:i/>
          <w:iCs/>
          <w:color w:val="000000"/>
          <w:sz w:val="24"/>
          <w:szCs w:val="24"/>
        </w:rPr>
        <w:t>Махкамова</w:t>
      </w:r>
      <w:r w:rsidR="005F4FC6" w:rsidRPr="005F4FC6">
        <w:rPr>
          <w:b/>
          <w:bCs/>
          <w:i/>
          <w:iCs/>
          <w:color w:val="000000"/>
          <w:sz w:val="24"/>
          <w:szCs w:val="24"/>
        </w:rPr>
        <w:t xml:space="preserve"> </w:t>
      </w:r>
      <w:r w:rsidR="005F4FC6" w:rsidRPr="00D4212D">
        <w:rPr>
          <w:b/>
          <w:bCs/>
          <w:i/>
          <w:iCs/>
          <w:color w:val="000000"/>
          <w:sz w:val="24"/>
          <w:szCs w:val="24"/>
        </w:rPr>
        <w:t>Ш.</w:t>
      </w:r>
      <w:r w:rsidR="005F4FC6">
        <w:rPr>
          <w:b/>
          <w:bCs/>
          <w:i/>
          <w:iCs/>
          <w:color w:val="000000"/>
          <w:sz w:val="24"/>
          <w:szCs w:val="24"/>
        </w:rPr>
        <w:t>Г.</w:t>
      </w:r>
      <w:r w:rsidRPr="00D4212D">
        <w:rPr>
          <w:b/>
          <w:bCs/>
          <w:i/>
          <w:iCs/>
          <w:color w:val="000000"/>
          <w:sz w:val="24"/>
          <w:szCs w:val="24"/>
        </w:rPr>
        <w:t xml:space="preserve">, </w:t>
      </w:r>
      <w:proofErr w:type="spellStart"/>
      <w:r w:rsidRPr="00D4212D">
        <w:rPr>
          <w:b/>
          <w:bCs/>
          <w:i/>
          <w:iCs/>
          <w:color w:val="000000"/>
          <w:sz w:val="24"/>
          <w:szCs w:val="24"/>
        </w:rPr>
        <w:t>Визгалов</w:t>
      </w:r>
      <w:proofErr w:type="spellEnd"/>
      <w:r w:rsidR="005F4FC6" w:rsidRPr="005F4FC6">
        <w:rPr>
          <w:b/>
          <w:bCs/>
          <w:i/>
          <w:iCs/>
          <w:color w:val="000000"/>
          <w:sz w:val="24"/>
          <w:szCs w:val="24"/>
        </w:rPr>
        <w:t xml:space="preserve"> </w:t>
      </w:r>
      <w:r w:rsidR="005F4FC6" w:rsidRPr="00D4212D">
        <w:rPr>
          <w:b/>
          <w:bCs/>
          <w:i/>
          <w:iCs/>
          <w:color w:val="000000"/>
          <w:sz w:val="24"/>
          <w:szCs w:val="24"/>
        </w:rPr>
        <w:t>В.А.</w:t>
      </w:r>
      <w:r w:rsidRPr="00D4212D">
        <w:rPr>
          <w:b/>
          <w:bCs/>
          <w:i/>
          <w:iCs/>
          <w:color w:val="000000"/>
          <w:sz w:val="24"/>
          <w:szCs w:val="24"/>
        </w:rPr>
        <w:t xml:space="preserve">, </w:t>
      </w:r>
      <w:proofErr w:type="spellStart"/>
      <w:r w:rsidRPr="00D4212D">
        <w:rPr>
          <w:b/>
          <w:bCs/>
          <w:i/>
          <w:iCs/>
          <w:color w:val="000000"/>
          <w:sz w:val="24"/>
          <w:szCs w:val="24"/>
        </w:rPr>
        <w:t>Лагуткина</w:t>
      </w:r>
      <w:proofErr w:type="spellEnd"/>
      <w:r w:rsidR="005F4FC6" w:rsidRPr="005F4FC6">
        <w:rPr>
          <w:b/>
          <w:bCs/>
          <w:i/>
          <w:iCs/>
          <w:color w:val="000000"/>
          <w:sz w:val="24"/>
          <w:szCs w:val="24"/>
        </w:rPr>
        <w:t xml:space="preserve"> </w:t>
      </w:r>
      <w:r w:rsidR="005F4FC6" w:rsidRPr="00D4212D">
        <w:rPr>
          <w:b/>
          <w:bCs/>
          <w:i/>
          <w:iCs/>
          <w:color w:val="000000"/>
          <w:sz w:val="24"/>
          <w:szCs w:val="24"/>
        </w:rPr>
        <w:t>А.А.</w:t>
      </w:r>
      <w:r w:rsidR="005F4FC6" w:rsidRPr="00D4212D">
        <w:rPr>
          <w:b/>
          <w:bCs/>
          <w:i/>
          <w:iCs/>
          <w:color w:val="000000"/>
          <w:sz w:val="24"/>
          <w:szCs w:val="24"/>
          <w:lang w:val="en-US"/>
        </w:rPr>
        <w:t> </w:t>
      </w:r>
    </w:p>
    <w:p w:rsidR="003301B3" w:rsidRPr="00D4212D" w:rsidRDefault="2A6417BC" w:rsidP="00CC75CF">
      <w:pPr>
        <w:keepNext/>
        <w:widowControl w:val="0"/>
        <w:ind w:right="-1"/>
        <w:jc w:val="center"/>
        <w:rPr>
          <w:i/>
          <w:iCs/>
          <w:sz w:val="24"/>
          <w:szCs w:val="24"/>
        </w:rPr>
      </w:pPr>
      <w:r w:rsidRPr="00D4212D">
        <w:rPr>
          <w:i/>
          <w:iCs/>
          <w:sz w:val="24"/>
          <w:szCs w:val="24"/>
        </w:rPr>
        <w:t xml:space="preserve">Студент 4 курса </w:t>
      </w:r>
      <w:proofErr w:type="spellStart"/>
      <w:r w:rsidRPr="00D4212D">
        <w:rPr>
          <w:i/>
          <w:iCs/>
          <w:sz w:val="24"/>
          <w:szCs w:val="24"/>
        </w:rPr>
        <w:t>бакалавриата</w:t>
      </w:r>
      <w:proofErr w:type="spellEnd"/>
      <w:r w:rsidRPr="00D4212D">
        <w:rPr>
          <w:i/>
          <w:iCs/>
          <w:sz w:val="24"/>
          <w:szCs w:val="24"/>
        </w:rPr>
        <w:t>, лаборант института “</w:t>
      </w:r>
      <w:proofErr w:type="spellStart"/>
      <w:r w:rsidRPr="00D4212D">
        <w:rPr>
          <w:i/>
          <w:iCs/>
          <w:sz w:val="24"/>
          <w:szCs w:val="24"/>
        </w:rPr>
        <w:t>Электродвижение</w:t>
      </w:r>
      <w:proofErr w:type="spellEnd"/>
      <w:r w:rsidRPr="00D4212D">
        <w:rPr>
          <w:i/>
          <w:iCs/>
          <w:sz w:val="24"/>
          <w:szCs w:val="24"/>
        </w:rPr>
        <w:t>”</w:t>
      </w:r>
    </w:p>
    <w:p w:rsidR="003301B3" w:rsidRDefault="2A6417BC" w:rsidP="00CC75CF">
      <w:pPr>
        <w:keepNext/>
        <w:keepLines/>
        <w:ind w:right="-1"/>
        <w:jc w:val="center"/>
        <w:rPr>
          <w:i/>
          <w:iCs/>
          <w:color w:val="000000"/>
          <w:sz w:val="24"/>
          <w:szCs w:val="24"/>
        </w:rPr>
      </w:pPr>
      <w:r w:rsidRPr="00D4212D">
        <w:rPr>
          <w:i/>
          <w:iCs/>
          <w:color w:val="000000"/>
          <w:sz w:val="24"/>
          <w:szCs w:val="24"/>
        </w:rPr>
        <w:t>Московский физико-технический институт, Национальный исследовательский университет, Институтский переулок, 9, 141700, Долгопрудный, Россия</w:t>
      </w:r>
    </w:p>
    <w:p w:rsidR="005F4FC6" w:rsidRPr="005F4FC6" w:rsidRDefault="005F4FC6" w:rsidP="00CC75CF">
      <w:pPr>
        <w:keepNext/>
        <w:keepLines/>
        <w:ind w:right="-1"/>
        <w:jc w:val="center"/>
        <w:rPr>
          <w:i/>
          <w:iCs/>
          <w:color w:val="000000"/>
          <w:sz w:val="24"/>
          <w:szCs w:val="24"/>
          <w:lang w:val="en-GB"/>
        </w:rPr>
      </w:pPr>
      <w:r w:rsidRPr="005F4FC6">
        <w:rPr>
          <w:i/>
          <w:color w:val="000000"/>
          <w:sz w:val="24"/>
          <w:szCs w:val="24"/>
          <w:lang w:val="en-GB"/>
        </w:rPr>
        <w:t xml:space="preserve">E-mail: </w:t>
      </w:r>
      <w:r w:rsidRPr="005F4FC6">
        <w:rPr>
          <w:i/>
          <w:iCs/>
          <w:sz w:val="24"/>
          <w:szCs w:val="24"/>
          <w:u w:val="single"/>
          <w:lang w:val="en-GB"/>
        </w:rPr>
        <w:t>shodona.makhkamova@mail.ru</w:t>
      </w:r>
    </w:p>
    <w:p w:rsidR="003301B3" w:rsidRPr="00D4212D" w:rsidRDefault="2A6417BC" w:rsidP="00CC75CF">
      <w:pPr>
        <w:ind w:firstLine="397"/>
        <w:jc w:val="both"/>
        <w:rPr>
          <w:sz w:val="24"/>
          <w:szCs w:val="24"/>
        </w:rPr>
      </w:pPr>
      <w:r w:rsidRPr="00D4212D">
        <w:rPr>
          <w:sz w:val="24"/>
          <w:szCs w:val="24"/>
        </w:rPr>
        <w:t>Несмотря на высокую удельную энергию, «</w:t>
      </w:r>
      <w:proofErr w:type="spellStart"/>
      <w:r w:rsidRPr="00D4212D">
        <w:rPr>
          <w:sz w:val="24"/>
          <w:szCs w:val="24"/>
        </w:rPr>
        <w:t>безанодные</w:t>
      </w:r>
      <w:proofErr w:type="spellEnd"/>
      <w:r w:rsidRPr="00D4212D">
        <w:rPr>
          <w:sz w:val="24"/>
          <w:szCs w:val="24"/>
        </w:rPr>
        <w:t xml:space="preserve">» литиевые источники тока демонстрируют ограниченный ресурс работы, что связано с неконтролируемым ростом литиевых осадков, формированием дендритных структур и нестабильностью </w:t>
      </w:r>
      <w:proofErr w:type="spellStart"/>
      <w:r w:rsidRPr="00D4212D">
        <w:rPr>
          <w:sz w:val="24"/>
          <w:szCs w:val="24"/>
        </w:rPr>
        <w:t>пассивирующего</w:t>
      </w:r>
      <w:proofErr w:type="spellEnd"/>
      <w:r w:rsidRPr="00D4212D">
        <w:rPr>
          <w:sz w:val="24"/>
          <w:szCs w:val="24"/>
        </w:rPr>
        <w:t xml:space="preserve"> слоя на границе электрод/электролит [1, 2]. В настоящей работе изучалось влияние внешнего механического давления, состава электролита на равномерность осаждения лития и стабильность функционирования «</w:t>
      </w:r>
      <w:proofErr w:type="spellStart"/>
      <w:r w:rsidRPr="00D4212D">
        <w:rPr>
          <w:sz w:val="24"/>
          <w:szCs w:val="24"/>
        </w:rPr>
        <w:t>безанодных</w:t>
      </w:r>
      <w:proofErr w:type="spellEnd"/>
      <w:r w:rsidRPr="00D4212D">
        <w:rPr>
          <w:sz w:val="24"/>
          <w:szCs w:val="24"/>
        </w:rPr>
        <w:t xml:space="preserve">» ячеек. Исследования проводились на </w:t>
      </w:r>
      <w:proofErr w:type="spellStart"/>
      <w:r w:rsidRPr="00D4212D">
        <w:rPr>
          <w:sz w:val="24"/>
          <w:szCs w:val="24"/>
        </w:rPr>
        <w:t>ячееках</w:t>
      </w:r>
      <w:proofErr w:type="spellEnd"/>
      <w:r w:rsidRPr="00D4212D">
        <w:rPr>
          <w:sz w:val="24"/>
          <w:szCs w:val="24"/>
        </w:rPr>
        <w:t xml:space="preserve"> </w:t>
      </w:r>
      <w:r w:rsidRPr="00D4212D">
        <w:rPr>
          <w:sz w:val="24"/>
          <w:szCs w:val="24"/>
          <w:lang w:val="en-US"/>
        </w:rPr>
        <w:t>Cu</w:t>
      </w:r>
      <w:r w:rsidRPr="00D4212D">
        <w:rPr>
          <w:sz w:val="24"/>
          <w:szCs w:val="24"/>
        </w:rPr>
        <w:t>/</w:t>
      </w:r>
      <w:r w:rsidRPr="00D4212D">
        <w:rPr>
          <w:sz w:val="24"/>
          <w:szCs w:val="24"/>
          <w:lang w:val="en-US"/>
        </w:rPr>
        <w:t>NMC</w:t>
      </w:r>
      <w:r w:rsidRPr="00D4212D">
        <w:rPr>
          <w:sz w:val="24"/>
          <w:szCs w:val="24"/>
        </w:rPr>
        <w:t xml:space="preserve">811 с габаритами 45×45 мм. Электролитная система представляла собой растворы </w:t>
      </w:r>
      <w:proofErr w:type="spellStart"/>
      <w:r w:rsidRPr="00D4212D">
        <w:rPr>
          <w:sz w:val="24"/>
          <w:szCs w:val="24"/>
          <w:lang w:val="en-US"/>
        </w:rPr>
        <w:t>LiFSI</w:t>
      </w:r>
      <w:proofErr w:type="spellEnd"/>
      <w:r w:rsidRPr="00D4212D">
        <w:rPr>
          <w:sz w:val="24"/>
          <w:szCs w:val="24"/>
        </w:rPr>
        <w:t xml:space="preserve"> в </w:t>
      </w:r>
      <w:r w:rsidRPr="00D4212D">
        <w:rPr>
          <w:sz w:val="24"/>
          <w:szCs w:val="24"/>
          <w:lang w:val="en-US"/>
        </w:rPr>
        <w:t>DME</w:t>
      </w:r>
      <w:r w:rsidRPr="00D4212D">
        <w:rPr>
          <w:sz w:val="24"/>
          <w:szCs w:val="24"/>
        </w:rPr>
        <w:t xml:space="preserve"> с молярными концентрациями 2, 3 и 4 моль/</w:t>
      </w:r>
      <w:proofErr w:type="gramStart"/>
      <w:r w:rsidRPr="00D4212D">
        <w:rPr>
          <w:sz w:val="24"/>
          <w:szCs w:val="24"/>
        </w:rPr>
        <w:t>л</w:t>
      </w:r>
      <w:proofErr w:type="gramEnd"/>
      <w:r w:rsidRPr="00D4212D">
        <w:rPr>
          <w:sz w:val="24"/>
          <w:szCs w:val="24"/>
        </w:rPr>
        <w:t>. Варьировались условия внешнего сжатия: без давления, при умеренном давлении (0.4–0.5 МПа) и при высоком давлении (2.5 МПа). Проведены гальваностатические циклические испытания, а также измерения импеданса до и после циклов заряда-разряда.</w:t>
      </w:r>
    </w:p>
    <w:p w:rsidR="003301B3" w:rsidRPr="00D4212D" w:rsidRDefault="2A6417BC" w:rsidP="00CC75CF">
      <w:pPr>
        <w:ind w:firstLine="397"/>
        <w:jc w:val="both"/>
        <w:rPr>
          <w:sz w:val="24"/>
          <w:szCs w:val="24"/>
        </w:rPr>
      </w:pPr>
      <w:r w:rsidRPr="00D4212D">
        <w:rPr>
          <w:sz w:val="24"/>
          <w:szCs w:val="24"/>
        </w:rPr>
        <w:t>Установлено, что для составов с концентрацией 2М и 3М внешнее давление способствует снижению омического сопротивления (</w:t>
      </w:r>
      <w:r w:rsidRPr="00D4212D">
        <w:rPr>
          <w:sz w:val="24"/>
          <w:szCs w:val="24"/>
          <w:lang w:val="en-US"/>
        </w:rPr>
        <w:t>R</w:t>
      </w:r>
      <w:r w:rsidR="00D4212D" w:rsidRPr="00D4212D">
        <w:rPr>
          <w:sz w:val="24"/>
          <w:szCs w:val="24"/>
          <w:vertAlign w:val="subscript"/>
        </w:rPr>
        <w:t>1</w:t>
      </w:r>
      <w:r w:rsidRPr="00D4212D">
        <w:rPr>
          <w:sz w:val="24"/>
          <w:szCs w:val="24"/>
        </w:rPr>
        <w:t xml:space="preserve">), сопротивления слоя </w:t>
      </w:r>
      <w:r w:rsidRPr="00D4212D">
        <w:rPr>
          <w:sz w:val="24"/>
          <w:szCs w:val="24"/>
          <w:lang w:val="en-US"/>
        </w:rPr>
        <w:t>SEI</w:t>
      </w:r>
      <w:r w:rsidRPr="00D4212D">
        <w:rPr>
          <w:sz w:val="24"/>
          <w:szCs w:val="24"/>
        </w:rPr>
        <w:t xml:space="preserve"> (</w:t>
      </w:r>
      <w:r w:rsidRPr="00D4212D">
        <w:rPr>
          <w:sz w:val="24"/>
          <w:szCs w:val="24"/>
          <w:lang w:val="en-US"/>
        </w:rPr>
        <w:t>R</w:t>
      </w:r>
      <w:r w:rsidR="00D4212D" w:rsidRPr="00D4212D">
        <w:rPr>
          <w:sz w:val="24"/>
          <w:szCs w:val="24"/>
          <w:vertAlign w:val="subscript"/>
        </w:rPr>
        <w:t>2</w:t>
      </w:r>
      <w:r w:rsidRPr="00D4212D">
        <w:rPr>
          <w:sz w:val="24"/>
          <w:szCs w:val="24"/>
        </w:rPr>
        <w:t>) и сопротивления переносу заряда (</w:t>
      </w:r>
      <w:r w:rsidRPr="00D4212D">
        <w:rPr>
          <w:sz w:val="24"/>
          <w:szCs w:val="24"/>
          <w:lang w:val="en-US"/>
        </w:rPr>
        <w:t>R</w:t>
      </w:r>
      <w:r w:rsidR="00D4212D" w:rsidRPr="00D4212D">
        <w:rPr>
          <w:sz w:val="24"/>
          <w:szCs w:val="24"/>
          <w:vertAlign w:val="subscript"/>
        </w:rPr>
        <w:t>3</w:t>
      </w:r>
      <w:r w:rsidRPr="00D4212D">
        <w:rPr>
          <w:sz w:val="24"/>
          <w:szCs w:val="24"/>
        </w:rPr>
        <w:t xml:space="preserve">). Это объясняется уплотнением межфазных контактов и подавлением игольчатого роста лития. В случае 4М электролита зафиксирован рост омического сопротивления под давлением, что, вероятно, связано с увеличением вязкости и преобладанием контактных ионных пар в структуре электролита. При этом сопротивление </w:t>
      </w:r>
      <w:r w:rsidRPr="00D4212D">
        <w:rPr>
          <w:sz w:val="24"/>
          <w:szCs w:val="24"/>
          <w:lang w:val="en-US"/>
        </w:rPr>
        <w:t>SEI</w:t>
      </w:r>
      <w:r w:rsidRPr="00D4212D">
        <w:rPr>
          <w:sz w:val="24"/>
          <w:szCs w:val="24"/>
        </w:rPr>
        <w:t xml:space="preserve"> (</w:t>
      </w:r>
      <w:r w:rsidRPr="00D4212D">
        <w:rPr>
          <w:sz w:val="24"/>
          <w:szCs w:val="24"/>
          <w:lang w:val="en-US"/>
        </w:rPr>
        <w:t>R</w:t>
      </w:r>
      <w:r w:rsidR="00D4212D" w:rsidRPr="00D4212D">
        <w:rPr>
          <w:sz w:val="24"/>
          <w:szCs w:val="24"/>
          <w:vertAlign w:val="subscript"/>
        </w:rPr>
        <w:t>2</w:t>
      </w:r>
      <w:r w:rsidRPr="00D4212D">
        <w:rPr>
          <w:sz w:val="24"/>
          <w:szCs w:val="24"/>
        </w:rPr>
        <w:t xml:space="preserve">) снижалось, что может указывать на формирование более однородного и проводящего </w:t>
      </w:r>
      <w:proofErr w:type="spellStart"/>
      <w:r w:rsidRPr="00D4212D">
        <w:rPr>
          <w:sz w:val="24"/>
          <w:szCs w:val="24"/>
        </w:rPr>
        <w:t>пассивирующего</w:t>
      </w:r>
      <w:proofErr w:type="spellEnd"/>
      <w:r w:rsidRPr="00D4212D">
        <w:rPr>
          <w:sz w:val="24"/>
          <w:szCs w:val="24"/>
        </w:rPr>
        <w:t xml:space="preserve"> слоя. Для 2М состава под давлением наблюдался резкий рост </w:t>
      </w:r>
      <w:r w:rsidRPr="00D4212D">
        <w:rPr>
          <w:sz w:val="24"/>
          <w:szCs w:val="24"/>
          <w:lang w:val="en-US"/>
        </w:rPr>
        <w:t>R</w:t>
      </w:r>
      <w:r w:rsidR="00D4212D" w:rsidRPr="00D4212D">
        <w:rPr>
          <w:sz w:val="24"/>
          <w:szCs w:val="24"/>
          <w:vertAlign w:val="subscript"/>
        </w:rPr>
        <w:t>1</w:t>
      </w:r>
      <w:r w:rsidRPr="00D4212D">
        <w:rPr>
          <w:sz w:val="24"/>
          <w:szCs w:val="24"/>
        </w:rPr>
        <w:t xml:space="preserve"> и </w:t>
      </w:r>
      <w:r w:rsidRPr="00D4212D">
        <w:rPr>
          <w:sz w:val="24"/>
          <w:szCs w:val="24"/>
          <w:lang w:val="en-US"/>
        </w:rPr>
        <w:t>R</w:t>
      </w:r>
      <w:r w:rsidR="00D4212D" w:rsidRPr="00D4212D">
        <w:rPr>
          <w:sz w:val="24"/>
          <w:szCs w:val="24"/>
          <w:vertAlign w:val="subscript"/>
        </w:rPr>
        <w:t>2</w:t>
      </w:r>
      <w:r w:rsidRPr="00D4212D">
        <w:rPr>
          <w:sz w:val="24"/>
          <w:szCs w:val="24"/>
        </w:rPr>
        <w:t xml:space="preserve">, что согласуется с литературными данными о формировании толстого </w:t>
      </w:r>
      <w:r w:rsidRPr="00D4212D">
        <w:rPr>
          <w:sz w:val="24"/>
          <w:szCs w:val="24"/>
          <w:lang w:val="en-US"/>
        </w:rPr>
        <w:t>SEI</w:t>
      </w:r>
      <w:r w:rsidRPr="00D4212D">
        <w:rPr>
          <w:sz w:val="24"/>
          <w:szCs w:val="24"/>
        </w:rPr>
        <w:t xml:space="preserve">-слоя при низкой концентрации соли [3]. Наиболее стабильные параметры </w:t>
      </w:r>
      <w:r w:rsidR="00D4212D" w:rsidRPr="00D4212D">
        <w:rPr>
          <w:sz w:val="24"/>
          <w:szCs w:val="24"/>
          <w:lang w:val="en-US"/>
        </w:rPr>
        <w:t>R</w:t>
      </w:r>
      <w:r w:rsidR="00D4212D" w:rsidRPr="00D4212D">
        <w:rPr>
          <w:sz w:val="24"/>
          <w:szCs w:val="24"/>
          <w:vertAlign w:val="subscript"/>
        </w:rPr>
        <w:t>1</w:t>
      </w:r>
      <w:r w:rsidR="00D4212D" w:rsidRPr="00D4212D">
        <w:rPr>
          <w:sz w:val="24"/>
          <w:szCs w:val="24"/>
        </w:rPr>
        <w:t xml:space="preserve"> и </w:t>
      </w:r>
      <w:r w:rsidR="00D4212D" w:rsidRPr="00D4212D">
        <w:rPr>
          <w:sz w:val="24"/>
          <w:szCs w:val="24"/>
          <w:lang w:val="en-US"/>
        </w:rPr>
        <w:t>R</w:t>
      </w:r>
      <w:r w:rsidR="00D4212D" w:rsidRPr="00D4212D">
        <w:rPr>
          <w:sz w:val="24"/>
          <w:szCs w:val="24"/>
          <w:vertAlign w:val="subscript"/>
        </w:rPr>
        <w:t>2</w:t>
      </w:r>
      <w:r w:rsidRPr="00D4212D">
        <w:rPr>
          <w:sz w:val="24"/>
          <w:szCs w:val="24"/>
        </w:rPr>
        <w:t xml:space="preserve"> зафиксированы для 3М системы. Таким образом, механическое сжатие позволяет увеличить удельную емкость ячеек на 40–50%. Без давления большую емкость показывают образцы с 3 </w:t>
      </w:r>
      <w:r w:rsidRPr="00D4212D">
        <w:rPr>
          <w:sz w:val="24"/>
          <w:szCs w:val="24"/>
          <w:lang w:val="en-US"/>
        </w:rPr>
        <w:t>M</w:t>
      </w:r>
      <w:r w:rsidRPr="00D4212D">
        <w:rPr>
          <w:sz w:val="24"/>
          <w:szCs w:val="24"/>
        </w:rPr>
        <w:t xml:space="preserve"> электролитом, при приложенном же давлении — с 4 </w:t>
      </w:r>
      <w:r w:rsidRPr="00D4212D">
        <w:rPr>
          <w:sz w:val="24"/>
          <w:szCs w:val="24"/>
          <w:lang w:val="en-US"/>
        </w:rPr>
        <w:t>M</w:t>
      </w:r>
      <w:r w:rsidRPr="00D4212D">
        <w:rPr>
          <w:sz w:val="24"/>
          <w:szCs w:val="24"/>
        </w:rPr>
        <w:t xml:space="preserve">. </w:t>
      </w:r>
      <w:proofErr w:type="gramStart"/>
      <w:r w:rsidRPr="00D4212D">
        <w:rPr>
          <w:sz w:val="24"/>
          <w:szCs w:val="24"/>
        </w:rPr>
        <w:t xml:space="preserve">Для электролитов 2М и 3М омические потери снижаются в среднем на 30%, сопротивление переноса заряда — на 50%, сопротивление </w:t>
      </w:r>
      <w:r w:rsidRPr="00D4212D">
        <w:rPr>
          <w:sz w:val="24"/>
          <w:szCs w:val="24"/>
          <w:lang w:val="en-US"/>
        </w:rPr>
        <w:t>SEI</w:t>
      </w:r>
      <w:r w:rsidRPr="00D4212D">
        <w:rPr>
          <w:sz w:val="24"/>
          <w:szCs w:val="24"/>
        </w:rPr>
        <w:t xml:space="preserve"> — на 30%. В случае 4М системы наблюдается более сложная зависимость: омическое сопротивление возрастает на 35%, тогда как сопротивление переноса заряда падает на 25%. Предположительно, это связано с изменением структуры сольватации и транспортных свойств при высоких концентрациях и требует дальнейшего изучения.</w:t>
      </w:r>
      <w:proofErr w:type="gramEnd"/>
    </w:p>
    <w:p w:rsidR="003301B3" w:rsidRPr="00D4212D" w:rsidRDefault="2A6417BC" w:rsidP="00CC75CF">
      <w:pPr>
        <w:jc w:val="center"/>
        <w:rPr>
          <w:sz w:val="24"/>
          <w:szCs w:val="24"/>
          <w:lang w:val="en-GB"/>
        </w:rPr>
      </w:pPr>
      <w:r w:rsidRPr="00D4212D">
        <w:rPr>
          <w:b/>
          <w:bCs/>
          <w:color w:val="000000"/>
          <w:sz w:val="24"/>
          <w:szCs w:val="24"/>
        </w:rPr>
        <w:t>Литература</w:t>
      </w:r>
    </w:p>
    <w:p w:rsidR="003301B3" w:rsidRPr="00D4212D" w:rsidRDefault="2A6417BC" w:rsidP="00CC75CF">
      <w:pPr>
        <w:jc w:val="both"/>
        <w:rPr>
          <w:sz w:val="24"/>
          <w:szCs w:val="24"/>
          <w:lang w:val="en-GB"/>
        </w:rPr>
      </w:pPr>
      <w:r w:rsidRPr="00D4212D">
        <w:rPr>
          <w:sz w:val="24"/>
          <w:szCs w:val="24"/>
          <w:lang w:val="en-GB"/>
        </w:rPr>
        <w:t xml:space="preserve">1. </w:t>
      </w:r>
      <w:proofErr w:type="spellStart"/>
      <w:r w:rsidRPr="00D4212D">
        <w:rPr>
          <w:sz w:val="24"/>
          <w:szCs w:val="24"/>
          <w:lang w:val="en-GB"/>
        </w:rPr>
        <w:t>Liang</w:t>
      </w:r>
      <w:proofErr w:type="spellEnd"/>
      <w:r w:rsidRPr="00D4212D">
        <w:rPr>
          <w:sz w:val="24"/>
          <w:szCs w:val="24"/>
          <w:lang w:val="en-GB"/>
        </w:rPr>
        <w:t xml:space="preserve"> S., Liu Y., Xiao S., et al. Research progress in high energy density anode-free lithium metal batteries // J. Mater. Eng. 2025. </w:t>
      </w:r>
      <w:proofErr w:type="gramStart"/>
      <w:r w:rsidRPr="00D4212D">
        <w:rPr>
          <w:sz w:val="24"/>
          <w:szCs w:val="24"/>
          <w:lang w:val="en-GB"/>
        </w:rPr>
        <w:t>Vol. 53(7).</w:t>
      </w:r>
      <w:proofErr w:type="gramEnd"/>
      <w:r w:rsidRPr="00D4212D">
        <w:rPr>
          <w:sz w:val="24"/>
          <w:szCs w:val="24"/>
          <w:lang w:val="en-GB"/>
        </w:rPr>
        <w:t xml:space="preserve"> P. 94–103.</w:t>
      </w:r>
    </w:p>
    <w:p w:rsidR="003301B3" w:rsidRPr="00D4212D" w:rsidRDefault="2A6417BC" w:rsidP="00CC75CF">
      <w:pPr>
        <w:jc w:val="both"/>
        <w:rPr>
          <w:sz w:val="24"/>
          <w:szCs w:val="24"/>
          <w:lang w:val="en-GB"/>
        </w:rPr>
      </w:pPr>
      <w:r w:rsidRPr="00D4212D">
        <w:rPr>
          <w:sz w:val="24"/>
          <w:szCs w:val="24"/>
          <w:lang w:val="en-GB"/>
        </w:rPr>
        <w:t xml:space="preserve">2. Li P., Kim H., Ming J., et al. Quasi-compensatory effect in emerging anode-free lithium batteries // </w:t>
      </w:r>
      <w:proofErr w:type="spellStart"/>
      <w:r w:rsidRPr="00D4212D">
        <w:rPr>
          <w:sz w:val="24"/>
          <w:szCs w:val="24"/>
          <w:lang w:val="en-GB"/>
        </w:rPr>
        <w:t>eScience</w:t>
      </w:r>
      <w:proofErr w:type="spellEnd"/>
      <w:r w:rsidRPr="00D4212D">
        <w:rPr>
          <w:sz w:val="24"/>
          <w:szCs w:val="24"/>
          <w:lang w:val="en-GB"/>
        </w:rPr>
        <w:t>. 2021. Vol. 1(1). P. 3–12.</w:t>
      </w:r>
    </w:p>
    <w:p w:rsidR="003301B3" w:rsidRPr="00D4212D" w:rsidRDefault="2A6417BC" w:rsidP="00CC75CF">
      <w:pPr>
        <w:jc w:val="both"/>
        <w:rPr>
          <w:sz w:val="24"/>
          <w:szCs w:val="24"/>
          <w:lang w:val="en-US"/>
        </w:rPr>
      </w:pPr>
      <w:r w:rsidRPr="00D4212D">
        <w:rPr>
          <w:sz w:val="24"/>
          <w:szCs w:val="24"/>
          <w:lang w:val="en-US"/>
        </w:rPr>
        <w:t xml:space="preserve">3. Wang M., Huai L., Hu G., et al. Effect of LiFSI Concentrations To Form Thickness- and Modulus-Controlled SEI Layers on Lithium Metal Anodes // J. Phys. Chem. C. 2018. </w:t>
      </w:r>
      <w:proofErr w:type="gramStart"/>
      <w:r w:rsidRPr="00D4212D">
        <w:rPr>
          <w:sz w:val="24"/>
          <w:szCs w:val="24"/>
          <w:lang w:val="en-US"/>
        </w:rPr>
        <w:t>Vol. 122(18).</w:t>
      </w:r>
      <w:proofErr w:type="gramEnd"/>
      <w:r w:rsidRPr="00D4212D">
        <w:rPr>
          <w:sz w:val="24"/>
          <w:szCs w:val="24"/>
          <w:lang w:val="en-US"/>
        </w:rPr>
        <w:t xml:space="preserve"> P. 9825–9834.</w:t>
      </w:r>
    </w:p>
    <w:p w:rsidR="003301B3" w:rsidRPr="00D4212D" w:rsidRDefault="003301B3" w:rsidP="00CC75CF">
      <w:pPr>
        <w:ind w:left="-141"/>
        <w:jc w:val="both"/>
        <w:rPr>
          <w:sz w:val="24"/>
          <w:szCs w:val="24"/>
        </w:rPr>
      </w:pPr>
    </w:p>
    <w:sectPr w:rsidR="003301B3" w:rsidRPr="00D4212D" w:rsidSect="00D4212D">
      <w:pgSz w:w="11907" w:h="16840" w:code="9"/>
      <w:pgMar w:top="1134" w:right="1361" w:bottom="1134" w:left="1361" w:header="357" w:footer="357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214A6311-937D-4DB1-9B8E-0E1164BD5858}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2" w:fontKey="{C6515A31-440B-4E90-8D38-EE9EB15CC0EA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3" w:fontKey="{F68D9066-F232-4E4E-AEE7-6B6246056AC4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proofState w:spelling="clean" w:grammar="clean"/>
  <w:defaultTabStop w:val="720"/>
  <w:characterSpacingControl w:val="doNotCompress"/>
  <w:compat/>
  <w:rsids>
    <w:rsidRoot w:val="2A6417BC"/>
    <w:rsid w:val="003301B3"/>
    <w:rsid w:val="005F4FC6"/>
    <w:rsid w:val="00CC75CF"/>
    <w:rsid w:val="00CF6D63"/>
    <w:rsid w:val="00D4212D"/>
    <w:rsid w:val="2A6417BC"/>
    <w:rsid w:val="341E769E"/>
    <w:rsid w:val="5BA1B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01B3"/>
  </w:style>
  <w:style w:type="paragraph" w:styleId="1">
    <w:name w:val="heading 1"/>
    <w:basedOn w:val="a"/>
    <w:next w:val="a"/>
    <w:rsid w:val="003301B3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rsid w:val="003301B3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rsid w:val="003301B3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rsid w:val="003301B3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rsid w:val="003301B3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rsid w:val="003301B3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rsid w:val="003301B3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rsid w:val="003301B3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Windows</cp:lastModifiedBy>
  <cp:revision>4</cp:revision>
  <dcterms:created xsi:type="dcterms:W3CDTF">2026-04-21T15:56:00Z</dcterms:created>
  <dcterms:modified xsi:type="dcterms:W3CDTF">2026-04-21T16:09:00Z</dcterms:modified>
</cp:coreProperties>
</file>