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rtl w:val="0"/>
        </w:rPr>
        <w:t xml:space="preserve">Исследование </w:t>
      </w:r>
      <w:r w:rsidDel="00000000" w:rsidR="00000000" w:rsidRPr="00000000">
        <w:rPr>
          <w:b w:val="1"/>
          <w:bCs w:val="1"/>
          <w:rtl w:val="0"/>
        </w:rPr>
        <w:t xml:space="preserve">твердого полимерного электролита на основе </w:t>
      </w:r>
      <w:r w:rsidDel="00000000" w:rsidR="00000000" w:rsidRPr="00000000">
        <w:rPr>
          <w:b w:val="1"/>
          <w:bCs w:val="1"/>
          <w:rtl w:val="0"/>
        </w:rPr>
        <w:t xml:space="preserve">литированного</w:t>
      </w:r>
      <w:r w:rsidDel="00000000" w:rsidR="00000000" w:rsidRPr="00000000">
        <w:rPr>
          <w:b w:val="1"/>
          <w:bCs w:val="1"/>
          <w:rtl w:val="0"/>
        </w:rPr>
        <w:t xml:space="preserve"> иономера Aquivion для применения в литий-ионных аккумуляторах </w:t>
      </w:r>
      <w:r w:rsidDel="00000000" w:rsidR="00000000" w:rsidRPr="00000000">
        <w:rPr>
          <w:b w:val="1"/>
          <w:b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color w:val="000000"/>
        </w:rPr>
      </w:pP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Чибирева</w:t>
      </w:r>
      <w:r w:rsidDel="00000000" w:rsidR="00000000" w:rsidRPr="00000000">
        <w:rPr>
          <w:b w:val="1"/>
          <w:bCs w:val="1"/>
          <w:i w:val="1"/>
          <w:iCs w:val="1"/>
          <w:rtl w:val="0"/>
        </w:rPr>
        <w:t xml:space="preserve"> С.Р. , Анисимова В.В. , Головин М.С. , Морозова С. М.</w:t>
      </w:r>
      <w:r w:rsidDel="00000000" w:rsidR="00000000" w:rsidRPr="00000000">
        <w:rPr>
          <w:b w:val="1"/>
          <w:bCs w:val="1"/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Студент, </w:t>
      </w:r>
      <w:r w:rsidDel="00000000" w:rsidR="00000000" w:rsidRPr="00000000">
        <w:rPr>
          <w:i w:val="1"/>
          <w:iCs w:val="1"/>
          <w:rtl w:val="0"/>
        </w:rPr>
        <w:t xml:space="preserve">1 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курс </w:t>
      </w:r>
      <w:r w:rsidDel="00000000" w:rsidR="00000000" w:rsidRPr="00000000">
        <w:rPr>
          <w:i w:val="1"/>
          <w:iCs w:val="1"/>
          <w:rtl w:val="0"/>
        </w:rPr>
        <w:t xml:space="preserve">бакалавриата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Московский </w:t>
      </w:r>
      <w:r w:rsidDel="00000000" w:rsidR="00000000" w:rsidRPr="00000000">
        <w:rPr>
          <w:i w:val="1"/>
          <w:iCs w:val="1"/>
          <w:rtl w:val="0"/>
        </w:rPr>
        <w:t xml:space="preserve">физико-технический институт (национальный исследовательский университет), Долгопрудный, Россия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center"/>
        <w:rPr>
          <w:color w:val="000000"/>
        </w:rPr>
      </w:pPr>
      <w:r w:rsidDel="00000000" w:rsidR="00000000" w:rsidRPr="00000000">
        <w:rPr>
          <w:i w:val="1"/>
          <w:iCs w:val="1"/>
          <w:color w:val="000000"/>
          <w:rtl w:val="0"/>
        </w:rPr>
        <w:t xml:space="preserve">E-mail: </w:t>
      </w:r>
      <w:r w:rsidDel="00000000" w:rsidR="00000000" w:rsidRPr="00000000">
        <w:rPr>
          <w:i w:val="1"/>
          <w:iCs w:val="1"/>
          <w:rtl w:val="0"/>
        </w:rPr>
        <w:t xml:space="preserve">chibireva.sr@phystech.edu</w:t>
      </w:r>
      <w:r w:rsidDel="00000000" w:rsidR="00000000" w:rsidRPr="00000000">
        <w:rPr>
          <w:i w:val="1"/>
          <w:iCs w:val="1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97"/>
        <w:jc w:val="both"/>
        <w:rPr/>
      </w:pPr>
      <w:r w:rsidDel="00000000" w:rsidR="00000000" w:rsidRPr="00000000">
        <w:rPr>
          <w:rtl w:val="0"/>
        </w:rPr>
        <w:t xml:space="preserve">В настоящее время литий-ионные аккумуляторы находят широкое применение в портативной электронике, электротранспорте, бытовой технике и системах накопления энергии. Но использование жидких электролитов обладает рядом недостатков, включая риск утечек и термического разложения, высокую горючесть и взрывоопасность. Перспективной альтернативой являются твердые полимерные электролиты, которые отличаются повышенной безопасностью и стабильностью. </w: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97"/>
        <w:jc w:val="both"/>
        <w:rPr/>
      </w:pPr>
      <w:r w:rsidDel="00000000" w:rsidR="00000000" w:rsidRPr="00000000">
        <w:rPr>
          <w:rtl w:val="0"/>
        </w:rPr>
        <w:t xml:space="preserve">В качестве материала для ТПЭ в данной работе был изучен перфторированный сульфосодержащий иономер Aquivion, используемый в составе мембранно-электродных блоков топливных элементов. Для адаптации к применению в литий-ионных аккумуляторах был проведен синтез (Рис 1, а).</w:t>
      </w:r>
    </w:p>
    <w:p w:rsidR="00000000" w:rsidDel="00000000" w:rsidP="00000000" w:rsidRDefault="00000000" w:rsidRPr="00000000" w14:paraId="00000008">
      <w:pPr>
        <w:spacing w:before="240" w:line="360" w:lineRule="auto"/>
        <w:ind w:firstLine="680"/>
        <w:jc w:val="both"/>
        <w:rPr/>
      </w:pPr>
      <w:r w:rsidDel="00000000" w:rsidR="00000000" w:rsidRPr="00000000">
        <w:rPr>
          <w:b w:val="1"/>
          <w:bCs w:val="1"/>
          <w:highlight w:val="white"/>
        </w:rPr>
        <w:drawing>
          <wp:inline distB="114300" distT="114300" distL="114300" distR="114300">
            <wp:extent cx="3893503" cy="1325645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3503" cy="132564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sz w:val="22"/>
          <w:szCs w:val="22"/>
        </w:rPr>
        <w:drawing>
          <wp:inline distB="114300" distT="114300" distL="114300" distR="114300">
            <wp:extent cx="1355081" cy="13335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355081" cy="133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97"/>
        <w:jc w:val="center"/>
        <w:rPr>
          <w:highlight w:val="white"/>
        </w:rPr>
      </w:pPr>
      <w:r w:rsidDel="00000000" w:rsidR="00000000" w:rsidRPr="00000000">
        <w:rPr>
          <w:highlight w:val="white"/>
          <w:rtl w:val="0"/>
        </w:rPr>
        <w:t xml:space="preserve">Рис 1. Синтез </w:t>
      </w:r>
      <w:r w:rsidDel="00000000" w:rsidR="00000000" w:rsidRPr="00000000">
        <w:rPr>
          <w:highlight w:val="white"/>
          <w:rtl w:val="0"/>
        </w:rPr>
        <w:t xml:space="preserve">литированного</w:t>
      </w:r>
      <w:r w:rsidDel="00000000" w:rsidR="00000000" w:rsidRPr="00000000">
        <w:rPr>
          <w:highlight w:val="white"/>
          <w:rtl w:val="0"/>
        </w:rPr>
        <w:t xml:space="preserve"> Aquivion (а) и схема разобранной двухэлектродной электрохимической ячейки (б)</w:t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97"/>
        <w:jc w:val="both"/>
        <w:rPr/>
      </w:pPr>
      <w:r w:rsidDel="00000000" w:rsidR="00000000" w:rsidRPr="00000000">
        <w:rPr>
          <w:rtl w:val="0"/>
        </w:rPr>
        <w:t xml:space="preserve">Формирование мембран осуществлялось двумя методами: в форме на электроплитке при 45 </w:t>
      </w:r>
      <w:r w:rsidDel="00000000" w:rsidR="00000000" w:rsidRPr="00000000">
        <w:rPr>
          <w:color w:val="001d35"/>
          <w:highlight w:val="white"/>
          <w:rtl w:val="0"/>
        </w:rPr>
        <w:t xml:space="preserve">°</w:t>
      </w:r>
      <w:r w:rsidDel="00000000" w:rsidR="00000000" w:rsidRPr="00000000">
        <w:rPr>
          <w:rtl w:val="0"/>
        </w:rPr>
        <w:t xml:space="preserve">С и на стенде для формирования мембран. Образцы дополнительно выдерживались в вакуумном шкафу при 60 </w:t>
      </w:r>
      <w:r w:rsidDel="00000000" w:rsidR="00000000" w:rsidRPr="00000000">
        <w:rPr>
          <w:color w:val="001d35"/>
          <w:highlight w:val="white"/>
          <w:rtl w:val="0"/>
        </w:rPr>
        <w:t xml:space="preserve">°</w:t>
      </w:r>
      <w:r w:rsidDel="00000000" w:rsidR="00000000" w:rsidRPr="00000000">
        <w:rPr>
          <w:rtl w:val="0"/>
        </w:rPr>
        <w:t xml:space="preserve">С. Измерения ионной проводимости мембран проводились методом импедансной спектроскопии в двухэлектродной ячейке (Рис 1, б). Значения проводимости рассчитывались по формуле:</w:t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97"/>
        <w:jc w:val="center"/>
        <w:rPr/>
      </w:pPr>
      <m:oMath>
        <m:r>
          <w:rPr/>
          <m:t xml:space="preserve">σ</m:t>
        </m:r>
        <m:r>
          <w:rPr>
            <w:rFonts w:ascii="Roboto" w:cs="Roboto" w:eastAsia="Roboto" w:hAnsi="Roboto"/>
            <w:color w:val="0f1115"/>
          </w:rPr>
          <m:t xml:space="preserve">=</m:t>
        </m:r>
        <m:f>
          <m:fPr>
            <m:ctrlPr>
              <w:rPr>
                <w:rFonts w:ascii="Roboto" w:cs="Roboto" w:eastAsia="Roboto" w:hAnsi="Roboto"/>
                <w:color w:val="0f1115"/>
              </w:rPr>
            </m:ctrlPr>
          </m:fPr>
          <m:num>
            <m:r>
              <w:rPr>
                <w:rFonts w:ascii="Roboto" w:cs="Roboto" w:eastAsia="Roboto" w:hAnsi="Roboto"/>
                <w:color w:val="0f1115"/>
              </w:rPr>
              <m:t xml:space="preserve">l</m:t>
            </m:r>
          </m:num>
          <m:den>
            <m:r>
              <w:rPr>
                <w:rFonts w:ascii="Roboto" w:cs="Roboto" w:eastAsia="Roboto" w:hAnsi="Roboto"/>
                <w:color w:val="0f1115"/>
              </w:rPr>
              <m:t xml:space="preserve">R </m:t>
            </m:r>
            <m:r>
              <w:rPr>
                <w:rFonts w:ascii="Roboto" w:cs="Roboto" w:eastAsia="Roboto" w:hAnsi="Roboto"/>
                <w:color w:val="0f1115"/>
              </w:rPr>
              <m:t>×</m:t>
            </m:r>
            <m:r>
              <w:rPr>
                <w:rFonts w:ascii="Roboto" w:cs="Roboto" w:eastAsia="Roboto" w:hAnsi="Roboto"/>
                <w:color w:val="0f1115"/>
              </w:rPr>
              <m:t xml:space="preserve"> S</m:t>
            </m:r>
          </m:den>
        </m:f>
        <m:r>
          <w:rPr>
            <w:rFonts w:ascii="Roboto" w:cs="Roboto" w:eastAsia="Roboto" w:hAnsi="Roboto"/>
            <w:color w:val="0f1115"/>
          </w:rPr>
          <m:t xml:space="preserve"> </m:t>
        </m:r>
      </m:oMath>
      <w:r w:rsidDel="00000000" w:rsidR="00000000" w:rsidRPr="00000000">
        <w:rPr>
          <w:rFonts w:ascii="Roboto" w:cs="Roboto" w:eastAsia="Roboto" w:hAnsi="Roboto"/>
          <w:color w:val="0f1115"/>
          <w:rtl w:val="0"/>
        </w:rPr>
        <w:t xml:space="preserve">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97"/>
        <w:jc w:val="both"/>
        <w:rPr/>
      </w:pPr>
      <w:r w:rsidDel="00000000" w:rsidR="00000000" w:rsidRPr="00000000">
        <w:rPr>
          <w:rtl w:val="0"/>
        </w:rPr>
        <w:t xml:space="preserve">где l — толщина мембраны, R — сопротивление, S — площадь электрода. Экспериментальный график представлен на Рис 2, а. Рассчитанная проводимость  — </w:t>
      </w:r>
      <w:r w:rsidDel="00000000" w:rsidR="00000000" w:rsidRPr="00000000">
        <w:rPr>
          <w:color w:val="0f1115"/>
          <w:highlight w:val="white"/>
          <w:rtl w:val="0"/>
        </w:rPr>
        <w:t xml:space="preserve">6,08×10⁻⁸ См/см.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97"/>
        <w:jc w:val="both"/>
        <w:rPr/>
      </w:pPr>
      <w:r w:rsidDel="00000000" w:rsidR="00000000" w:rsidRPr="00000000">
        <w:rPr>
          <w:rtl w:val="0"/>
        </w:rPr>
        <w:t xml:space="preserve">Дополнительно было исследовано влияние пропитки мембран ионной жидкостью. После измерения импеданса (Рис 2, б) была рассчитана ионная проводимость — </w:t>
      </w:r>
      <w:r w:rsidDel="00000000" w:rsidR="00000000" w:rsidRPr="00000000">
        <w:rPr>
          <w:color w:val="0f1115"/>
          <w:highlight w:val="white"/>
          <w:rtl w:val="0"/>
        </w:rPr>
        <w:t xml:space="preserve">1,533×10⁻⁹ См/см.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ind w:firstLine="397"/>
        <w:jc w:val="both"/>
        <w:rPr/>
      </w:pPr>
      <w:r w:rsidDel="00000000" w:rsidR="00000000" w:rsidRPr="00000000">
        <w:rPr>
          <w:rFonts w:ascii="Roboto" w:cs="Roboto" w:eastAsia="Roboto" w:hAnsi="Roboto"/>
          <w:color w:val="0f1115"/>
        </w:rPr>
        <w:drawing>
          <wp:inline distB="114300" distT="114300" distL="114300" distR="114300">
            <wp:extent cx="2601009" cy="1112186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1774" l="0" r="4132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01009" cy="11121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Roboto" w:cs="Roboto" w:eastAsia="Roboto" w:hAnsi="Roboto"/>
          <w:color w:val="0f1115"/>
        </w:rPr>
        <w:drawing>
          <wp:inline distB="114300" distT="114300" distL="114300" distR="114300">
            <wp:extent cx="2649284" cy="1108197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49284" cy="110819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0"/>
        <w:jc w:val="center"/>
        <w:rPr/>
      </w:pPr>
      <w:bookmarkStart w:colFirst="0" w:colLast="0" w:name="_fqcg9dxnfhdj" w:id="0"/>
      <w:bookmarkEnd w:id="0"/>
      <w:r w:rsidDel="00000000" w:rsidR="00000000" w:rsidRPr="00000000">
        <w:rPr>
          <w:rtl w:val="0"/>
        </w:rPr>
        <w:t xml:space="preserve">Рис 2. Измерение импеданса исходной мембраны (а) и после пропитки ионной жидкостью (б)</w:t>
      </w:r>
    </w:p>
    <w:p w:rsidR="00000000" w:rsidDel="00000000" w:rsidP="00000000" w:rsidRDefault="00000000" w:rsidRPr="00000000" w14:paraId="00000010">
      <w:pPr>
        <w:ind w:firstLine="567"/>
        <w:jc w:val="center"/>
        <w:rPr>
          <w:i w:val="1"/>
          <w:iCs w:val="1"/>
        </w:rPr>
      </w:pPr>
      <w:bookmarkStart w:colFirst="0" w:colLast="0" w:name="_9slnu7qgpjcb" w:id="1"/>
      <w:bookmarkEnd w:id="1"/>
      <w:r w:rsidDel="00000000" w:rsidR="00000000" w:rsidRPr="00000000">
        <w:rPr>
          <w:i w:val="1"/>
          <w:iCs w:val="1"/>
          <w:rtl w:val="0"/>
        </w:rPr>
        <w:t xml:space="preserve">Исследование выполнено при поддержке Министерства науки и высшего образования Российской Федерации (Госзадание) проект FSMG-2025-0068.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jc w:val="both"/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10" w:type="default"/>
      <w:pgSz w:h="16838" w:w="11906" w:orient="portrait"/>
      <w:pgMar w:bottom="1127" w:top="1134" w:left="1361" w:right="136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1.xml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http://www.zotero.org/styles/gost-r-7-0-5-2008-numeric</vt:lpwstr>
  </property>
  <property fmtid="{D5CDD505-2E9C-101B-9397-08002B2CF9AE}" pid="4" name="Mendeley Unique User Id_1">
    <vt:lpwstr>b09b180f-15e6-39a8-8e02-e401af1d2283</vt:lpwstr>
  </property>
  <property fmtid="{D5CDD505-2E9C-101B-9397-08002B2CF9AE}" pid="5" name="Mendeley Recent Style Id 0_1">
    <vt:lpwstr>http://www.zotero.org/styles/chicago-author-date</vt:lpwstr>
  </property>
  <property fmtid="{D5CDD505-2E9C-101B-9397-08002B2CF9AE}" pid="6" name="Mendeley Recent Style Name 0_1">
    <vt:lpwstr>Chicago Manual of Style 17th edition (author-date)</vt:lpwstr>
  </property>
  <property fmtid="{D5CDD505-2E9C-101B-9397-08002B2CF9AE}" pid="7" name="Mendeley Recent Style Id 1_1">
    <vt:lpwstr>http://www.zotero.org/styles/harvard-cite-them-right</vt:lpwstr>
  </property>
  <property fmtid="{D5CDD505-2E9C-101B-9397-08002B2CF9AE}" pid="8" name="Mendeley Recent Style Name 1_1">
    <vt:lpwstr>Cite Them Right 10th edition - Harvard</vt:lpwstr>
  </property>
  <property fmtid="{D5CDD505-2E9C-101B-9397-08002B2CF9AE}" pid="9" name="Mendeley Recent Style Id 2_1">
    <vt:lpwstr>http://www.zotero.org/styles/ieee</vt:lpwstr>
  </property>
  <property fmtid="{D5CDD505-2E9C-101B-9397-08002B2CF9AE}" pid="10" name="Mendeley Recent Style Name 2_1">
    <vt:lpwstr>IEEE</vt:lpwstr>
  </property>
  <property fmtid="{D5CDD505-2E9C-101B-9397-08002B2CF9AE}" pid="11" name="Mendeley Recent Style Id 3_1">
    <vt:lpwstr>http://www.zotero.org/styles/modern-humanities-research-association</vt:lpwstr>
  </property>
  <property fmtid="{D5CDD505-2E9C-101B-9397-08002B2CF9AE}" pid="12" name="Mendeley Recent Style Name 3_1">
    <vt:lpwstr>Modern Humanities Research Association 3rd edition (note with bibliography)</vt:lpwstr>
  </property>
  <property fmtid="{D5CDD505-2E9C-101B-9397-08002B2CF9AE}" pid="13" name="Mendeley Recent Style Id 4_1">
    <vt:lpwstr>http://www.zotero.org/styles/modern-language-association</vt:lpwstr>
  </property>
  <property fmtid="{D5CDD505-2E9C-101B-9397-08002B2CF9AE}" pid="14" name="Mendeley Recent Style Name 4_1">
    <vt:lpwstr>Modern Language Association 8th edition</vt:lpwstr>
  </property>
  <property fmtid="{D5CDD505-2E9C-101B-9397-08002B2CF9AE}" pid="15" name="Mendeley Recent Style Id 5_1">
    <vt:lpwstr>http://www.zotero.org/styles/nature</vt:lpwstr>
  </property>
  <property fmtid="{D5CDD505-2E9C-101B-9397-08002B2CF9AE}" pid="16" name="Mendeley Recent Style Name 5_1">
    <vt:lpwstr>Nature</vt:lpwstr>
  </property>
  <property fmtid="{D5CDD505-2E9C-101B-9397-08002B2CF9AE}" pid="17" name="Mendeley Recent Style Id 6_1">
    <vt:lpwstr>http://www.zotero.org/styles/russian-chemical-reviews</vt:lpwstr>
  </property>
  <property fmtid="{D5CDD505-2E9C-101B-9397-08002B2CF9AE}" pid="18" name="Mendeley Recent Style Name 6_1">
    <vt:lpwstr>Russian Chemical Reviews</vt:lpwstr>
  </property>
  <property fmtid="{D5CDD505-2E9C-101B-9397-08002B2CF9AE}" pid="19" name="Mendeley Recent Style Id 7_1">
    <vt:lpwstr>http://www.zotero.org/styles/gost-r-7-0-5-2008</vt:lpwstr>
  </property>
  <property fmtid="{D5CDD505-2E9C-101B-9397-08002B2CF9AE}" pid="20" name="Mendeley Recent Style Name 7_1">
    <vt:lpwstr>Russian GOST R 7.0.5-2008 (Russian)</vt:lpwstr>
  </property>
  <property fmtid="{D5CDD505-2E9C-101B-9397-08002B2CF9AE}" pid="21" name="Mendeley Recent Style Id 8_1">
    <vt:lpwstr>http://www.zotero.org/styles/gost-r-7-0-5-2008-numeric</vt:lpwstr>
  </property>
  <property fmtid="{D5CDD505-2E9C-101B-9397-08002B2CF9AE}" pid="22" name="Mendeley Recent Style Name 8_1">
    <vt:lpwstr>Russian GOST R 7.0.5-2008 (numeric)</vt:lpwstr>
  </property>
  <property fmtid="{D5CDD505-2E9C-101B-9397-08002B2CF9AE}" pid="23" name="Mendeley Recent Style Id 9_1">
    <vt:lpwstr>http://csl.mendeley.com/styles/7762213/gost-r-7-0-5-2008-numeric-3</vt:lpwstr>
  </property>
  <property fmtid="{D5CDD505-2E9C-101B-9397-08002B2CF9AE}" pid="24" name="Mendeley Recent Style Name 9_1">
    <vt:lpwstr>Russian GOST R 7.0.5-2008 (numeric) - Alexander Dzuban</vt:lpwstr>
  </property>
</Properties>
</file>