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1836" w14:textId="1C29DA61" w:rsidR="00F37B70" w:rsidRDefault="00F37B70" w:rsidP="00F37B70">
      <w:pPr>
        <w:jc w:val="center"/>
        <w:rPr>
          <w:b/>
          <w:color w:val="000000"/>
        </w:rPr>
      </w:pPr>
      <w:r>
        <w:rPr>
          <w:b/>
          <w:color w:val="000000"/>
        </w:rPr>
        <w:t>Изучение цитотоксичности моделей 3</w:t>
      </w:r>
      <w:r>
        <w:rPr>
          <w:b/>
          <w:color w:val="000000"/>
          <w:lang w:val="en-US"/>
        </w:rPr>
        <w:t>D</w:t>
      </w:r>
      <w:r w:rsidRPr="00F37B70">
        <w:rPr>
          <w:b/>
          <w:color w:val="000000"/>
        </w:rPr>
        <w:t>-</w:t>
      </w:r>
      <w:r>
        <w:rPr>
          <w:b/>
          <w:color w:val="000000"/>
        </w:rPr>
        <w:t xml:space="preserve">биорезорбируемых скаффолдов для </w:t>
      </w:r>
      <w:r w:rsidR="0073643C" w:rsidRPr="00091C0B">
        <w:rPr>
          <w:b/>
          <w:color w:val="000000"/>
        </w:rPr>
        <w:br/>
      </w:r>
      <w:r w:rsidR="00161121">
        <w:rPr>
          <w:b/>
          <w:color w:val="000000"/>
        </w:rPr>
        <w:t xml:space="preserve">трансплантантов </w:t>
      </w:r>
      <w:r>
        <w:rPr>
          <w:b/>
          <w:color w:val="000000"/>
        </w:rPr>
        <w:t>молочной железы</w:t>
      </w:r>
    </w:p>
    <w:p w14:paraId="0FB99860" w14:textId="49C0D1E0" w:rsidR="00F37B70" w:rsidRPr="00161121" w:rsidRDefault="00F37B70" w:rsidP="0073643C">
      <w:pPr>
        <w:jc w:val="center"/>
        <w:rPr>
          <w:b/>
          <w:i/>
          <w:iCs/>
          <w:color w:val="000000"/>
        </w:rPr>
      </w:pPr>
      <w:r w:rsidRPr="00161121">
        <w:rPr>
          <w:b/>
          <w:i/>
          <w:iCs/>
          <w:color w:val="000000"/>
        </w:rPr>
        <w:t>Усатов Н.С.</w:t>
      </w:r>
      <w:r w:rsidRPr="00161121">
        <w:rPr>
          <w:b/>
          <w:i/>
          <w:iCs/>
          <w:color w:val="000000"/>
          <w:vertAlign w:val="superscript"/>
        </w:rPr>
        <w:t>1</w:t>
      </w:r>
      <w:r w:rsidRPr="00161121">
        <w:rPr>
          <w:b/>
          <w:i/>
          <w:iCs/>
          <w:color w:val="000000"/>
        </w:rPr>
        <w:t>, Ле-Дейген И.М.</w:t>
      </w:r>
      <w:r w:rsidRPr="00161121">
        <w:rPr>
          <w:b/>
          <w:i/>
          <w:iCs/>
          <w:color w:val="000000"/>
          <w:vertAlign w:val="superscript"/>
        </w:rPr>
        <w:t>1</w:t>
      </w:r>
      <w:r w:rsidRPr="00161121">
        <w:rPr>
          <w:b/>
          <w:i/>
          <w:iCs/>
          <w:color w:val="000000"/>
        </w:rPr>
        <w:t>, Багдасарян А.А.</w:t>
      </w:r>
      <w:r w:rsidRPr="00161121">
        <w:rPr>
          <w:b/>
          <w:i/>
          <w:iCs/>
          <w:color w:val="000000"/>
          <w:vertAlign w:val="superscript"/>
        </w:rPr>
        <w:t>2</w:t>
      </w:r>
      <w:r w:rsidR="00091C0B" w:rsidRPr="00161121">
        <w:rPr>
          <w:b/>
          <w:i/>
          <w:iCs/>
          <w:color w:val="000000"/>
        </w:rPr>
        <w:t>, Вишнякова П.А.</w:t>
      </w:r>
      <w:r w:rsidR="00091C0B" w:rsidRPr="00161121">
        <w:rPr>
          <w:b/>
          <w:i/>
          <w:iCs/>
          <w:color w:val="000000"/>
          <w:vertAlign w:val="superscript"/>
        </w:rPr>
        <w:t xml:space="preserve"> 2</w:t>
      </w:r>
      <w:r w:rsidR="00091C0B" w:rsidRPr="00161121">
        <w:rPr>
          <w:b/>
          <w:i/>
          <w:iCs/>
          <w:color w:val="000000"/>
        </w:rPr>
        <w:t>, Киселева В.В.</w:t>
      </w:r>
      <w:r w:rsidR="00091C0B" w:rsidRPr="00161121">
        <w:rPr>
          <w:b/>
          <w:i/>
          <w:iCs/>
          <w:color w:val="000000"/>
          <w:vertAlign w:val="superscript"/>
        </w:rPr>
        <w:t xml:space="preserve"> 2</w:t>
      </w:r>
    </w:p>
    <w:p w14:paraId="62166FFB" w14:textId="77777777" w:rsidR="0073643C" w:rsidRDefault="00F37B70" w:rsidP="0073643C">
      <w:pPr>
        <w:jc w:val="center"/>
        <w:rPr>
          <w:bCs/>
          <w:i/>
          <w:iCs/>
          <w:color w:val="000000"/>
        </w:rPr>
      </w:pPr>
      <w:r w:rsidRPr="00F37B70">
        <w:rPr>
          <w:bCs/>
          <w:i/>
          <w:iCs/>
          <w:color w:val="000000"/>
        </w:rPr>
        <w:t>Студент 4 курс специалитета</w:t>
      </w:r>
    </w:p>
    <w:p w14:paraId="63BEBEBF" w14:textId="5167D89E" w:rsidR="0073643C" w:rsidRDefault="0073643C" w:rsidP="0073643C">
      <w:pPr>
        <w:jc w:val="center"/>
        <w:rPr>
          <w:bCs/>
          <w:i/>
          <w:iCs/>
          <w:color w:val="000000"/>
        </w:rPr>
      </w:pPr>
      <w:r w:rsidRPr="0073643C">
        <w:rPr>
          <w:bCs/>
          <w:i/>
          <w:iCs/>
          <w:color w:val="000000"/>
          <w:vertAlign w:val="superscript"/>
        </w:rPr>
        <w:t>1</w:t>
      </w:r>
      <w:r>
        <w:rPr>
          <w:bCs/>
          <w:i/>
          <w:iCs/>
          <w:color w:val="000000"/>
        </w:rPr>
        <w:t>МГУ имени М.В. Ломоносова, химический факультет, Москва, Россия</w:t>
      </w:r>
    </w:p>
    <w:p w14:paraId="241FEDE6" w14:textId="784ACA48" w:rsidR="0073643C" w:rsidRDefault="0073643C" w:rsidP="0073643C">
      <w:pPr>
        <w:jc w:val="center"/>
        <w:rPr>
          <w:bCs/>
          <w:i/>
          <w:iCs/>
          <w:color w:val="000000"/>
        </w:rPr>
      </w:pPr>
      <w:r w:rsidRPr="0073643C">
        <w:rPr>
          <w:bCs/>
          <w:i/>
          <w:iCs/>
          <w:color w:val="000000"/>
          <w:vertAlign w:val="superscript"/>
        </w:rPr>
        <w:t>2</w:t>
      </w:r>
      <w:r>
        <w:rPr>
          <w:bCs/>
          <w:i/>
          <w:iCs/>
          <w:color w:val="000000"/>
        </w:rPr>
        <w:t xml:space="preserve">ФГБУ НМИЦ </w:t>
      </w:r>
      <w:r w:rsidR="00581087">
        <w:rPr>
          <w:bCs/>
          <w:i/>
          <w:iCs/>
          <w:color w:val="000000"/>
        </w:rPr>
        <w:t xml:space="preserve">АГП им. </w:t>
      </w:r>
      <w:r>
        <w:rPr>
          <w:bCs/>
          <w:i/>
          <w:iCs/>
          <w:color w:val="000000"/>
        </w:rPr>
        <w:t>В.И. Кулакова Минздрава РФ, Москва, Россия</w:t>
      </w:r>
    </w:p>
    <w:p w14:paraId="323F9168" w14:textId="76A94C4D" w:rsidR="0073643C" w:rsidRPr="0073643C" w:rsidRDefault="0073643C" w:rsidP="0073643C">
      <w:pPr>
        <w:jc w:val="center"/>
        <w:rPr>
          <w:bCs/>
          <w:i/>
          <w:iCs/>
          <w:color w:val="000000"/>
        </w:rPr>
      </w:pPr>
      <w:r>
        <w:rPr>
          <w:bCs/>
          <w:i/>
          <w:iCs/>
          <w:color w:val="000000"/>
          <w:lang w:val="en-US"/>
        </w:rPr>
        <w:t>E</w:t>
      </w:r>
      <w:r w:rsidRPr="0073643C">
        <w:rPr>
          <w:bCs/>
          <w:i/>
          <w:iCs/>
          <w:color w:val="000000"/>
        </w:rPr>
        <w:t>-</w:t>
      </w:r>
      <w:r>
        <w:rPr>
          <w:bCs/>
          <w:i/>
          <w:iCs/>
          <w:color w:val="000000"/>
          <w:lang w:val="en-US"/>
        </w:rPr>
        <w:t>mail</w:t>
      </w:r>
      <w:r w:rsidRPr="0073643C">
        <w:rPr>
          <w:bCs/>
          <w:i/>
          <w:iCs/>
          <w:color w:val="000000"/>
        </w:rPr>
        <w:t xml:space="preserve">: </w:t>
      </w:r>
      <w:hyperlink r:id="rId6" w:history="1">
        <w:r w:rsidRPr="00C17B10">
          <w:rPr>
            <w:rStyle w:val="a9"/>
            <w:bCs/>
            <w:i/>
            <w:iCs/>
            <w:lang w:val="en-US"/>
          </w:rPr>
          <w:t>usatovnikita</w:t>
        </w:r>
        <w:r w:rsidRPr="0073643C">
          <w:rPr>
            <w:rStyle w:val="a9"/>
            <w:bCs/>
            <w:i/>
            <w:iCs/>
          </w:rPr>
          <w:t>0807@</w:t>
        </w:r>
        <w:r w:rsidRPr="00C17B10">
          <w:rPr>
            <w:rStyle w:val="a9"/>
            <w:bCs/>
            <w:i/>
            <w:iCs/>
            <w:lang w:val="en-US"/>
          </w:rPr>
          <w:t>gmail</w:t>
        </w:r>
        <w:r w:rsidRPr="0073643C">
          <w:rPr>
            <w:rStyle w:val="a9"/>
            <w:bCs/>
            <w:i/>
            <w:iCs/>
          </w:rPr>
          <w:t>.</w:t>
        </w:r>
        <w:r w:rsidRPr="00C17B10">
          <w:rPr>
            <w:rStyle w:val="a9"/>
            <w:bCs/>
            <w:i/>
            <w:iCs/>
            <w:lang w:val="en-US"/>
          </w:rPr>
          <w:t>com</w:t>
        </w:r>
      </w:hyperlink>
    </w:p>
    <w:p w14:paraId="483D2508" w14:textId="52D9AB38" w:rsidR="0073643C" w:rsidRPr="00161121" w:rsidRDefault="00091C0B" w:rsidP="0073643C">
      <w:pPr>
        <w:ind w:firstLine="397"/>
        <w:jc w:val="both"/>
        <w:rPr>
          <w:bCs/>
          <w:color w:val="000000"/>
          <w:lang w:val="en-US"/>
        </w:rPr>
      </w:pPr>
      <w:r w:rsidRPr="00091C0B">
        <w:rPr>
          <w:bCs/>
          <w:color w:val="000000"/>
        </w:rPr>
        <w:t>Рак молочной железы является наиболее распространенным злокачественным новообразованием у женщин и в ряде случаев требует выполнения мастэктомии.</w:t>
      </w:r>
      <w:r w:rsidR="0073643C" w:rsidRPr="0073643C">
        <w:rPr>
          <w:bCs/>
          <w:color w:val="000000"/>
        </w:rPr>
        <w:t xml:space="preserve"> Важным этапом реабилитации является восстановление утраченного объема тканей. </w:t>
      </w:r>
      <w:r w:rsidRPr="00091C0B">
        <w:rPr>
          <w:bCs/>
          <w:color w:val="000000"/>
        </w:rPr>
        <w:t xml:space="preserve">В качестве перспективного направления рассматривается применение 3D-биорезорбируемых скаффолдов, которые выполняют функцию </w:t>
      </w:r>
      <w:r>
        <w:rPr>
          <w:bCs/>
          <w:color w:val="000000"/>
        </w:rPr>
        <w:t xml:space="preserve">каркаса </w:t>
      </w:r>
      <w:r w:rsidRPr="00091C0B">
        <w:rPr>
          <w:bCs/>
          <w:color w:val="000000"/>
        </w:rPr>
        <w:t xml:space="preserve">и создают условия для формирования новой жировой ткани. </w:t>
      </w:r>
      <w:r w:rsidR="0073643C" w:rsidRPr="0073643C">
        <w:rPr>
          <w:bCs/>
          <w:color w:val="000000"/>
        </w:rPr>
        <w:t>Клинический успех таких имплантатов зависит от их контролируемой биодеградации и эффективной интеграции с окружающими тканями.</w:t>
      </w:r>
    </w:p>
    <w:p w14:paraId="03E07D02" w14:textId="6F02FBC9" w:rsidR="00161121" w:rsidRPr="00161121" w:rsidRDefault="0073643C" w:rsidP="00161121">
      <w:pPr>
        <w:ind w:firstLine="397"/>
        <w:jc w:val="both"/>
        <w:rPr>
          <w:bCs/>
          <w:color w:val="FF0000"/>
          <w:lang w:val="en-US"/>
        </w:rPr>
      </w:pPr>
      <w:r>
        <w:rPr>
          <w:bCs/>
          <w:color w:val="000000"/>
        </w:rPr>
        <w:t>В качестве материалов для скаффолдов можно использовать различные природные и</w:t>
      </w:r>
      <w:r w:rsidR="00ED48C1">
        <w:rPr>
          <w:bCs/>
          <w:color w:val="000000"/>
        </w:rPr>
        <w:t>ли</w:t>
      </w:r>
      <w:r>
        <w:rPr>
          <w:bCs/>
          <w:color w:val="000000"/>
        </w:rPr>
        <w:t xml:space="preserve"> синтетические полимеры, такие как </w:t>
      </w:r>
      <w:r w:rsidR="00ED48C1">
        <w:rPr>
          <w:bCs/>
          <w:color w:val="000000"/>
        </w:rPr>
        <w:t xml:space="preserve">хитозан, коллаген, фибрин, полимер молочной, гликолевой кислот, поликапролактон и т.д. </w:t>
      </w:r>
      <w:r w:rsidR="00ED48C1">
        <w:rPr>
          <w:bCs/>
          <w:color w:val="000000"/>
        </w:rPr>
        <w:fldChar w:fldCharType="begin"/>
      </w:r>
      <w:r w:rsidR="00ED48C1">
        <w:rPr>
          <w:bCs/>
          <w:color w:val="000000"/>
        </w:rPr>
        <w:instrText xml:space="preserve"> ADDIN EN.CITE &lt;EndNote&gt;&lt;Cite&gt;&lt;Author&gt;Asti&lt;/Author&gt;&lt;Year&gt;2014&lt;/Year&gt;&lt;RecNum&gt;1&lt;/RecNum&gt;&lt;DisplayText&gt;[1]&lt;/DisplayText&gt;&lt;record&gt;&lt;rec-number&gt;1&lt;/rec-number&gt;&lt;foreign-keys&gt;&lt;key app="EN" db-id="ff0tst0r4tewz5exx20px9toaaeexrtv9z9f" timestamp="1773082918"&gt;1&lt;/key&gt;&lt;/foreign-keys&gt;&lt;ref-type name="Journal Article"&gt;17&lt;/ref-type&gt;&lt;contributors&gt;&lt;authors&gt;&lt;author&gt;Asti, Annalia&lt;/author&gt;&lt;author&gt;Gioglio, Luciana&lt;/author&gt;&lt;/authors&gt;&lt;/contributors&gt;&lt;titles&gt;&lt;title&gt;Natural and synthetic biodegradable polymers: different scaffolds for cell expansion and tissue formation&lt;/title&gt;&lt;secondary-title&gt;The International journal of artificial organs&lt;/secondary-title&gt;&lt;/titles&gt;&lt;periodical&gt;&lt;full-title&gt;The International journal of artificial organs&lt;/full-title&gt;&lt;/periodical&gt;&lt;pages&gt;187-205&lt;/pages&gt;&lt;volume&gt;37&lt;/volume&gt;&lt;number&gt;3&lt;/number&gt;&lt;dates&gt;&lt;year&gt;2014&lt;/year&gt;&lt;/dates&gt;&lt;isbn&gt;0391-3988&lt;/isbn&gt;&lt;urls&gt;&lt;/urls&gt;&lt;/record&gt;&lt;/Cite&gt;&lt;/EndNote&gt;</w:instrText>
      </w:r>
      <w:r w:rsidR="00ED48C1">
        <w:rPr>
          <w:bCs/>
          <w:color w:val="000000"/>
        </w:rPr>
        <w:fldChar w:fldCharType="separate"/>
      </w:r>
      <w:r w:rsidR="00ED48C1">
        <w:rPr>
          <w:bCs/>
          <w:noProof/>
          <w:color w:val="000000"/>
        </w:rPr>
        <w:t>[1]</w:t>
      </w:r>
      <w:r w:rsidR="00ED48C1">
        <w:rPr>
          <w:bCs/>
          <w:color w:val="000000"/>
        </w:rPr>
        <w:fldChar w:fldCharType="end"/>
      </w:r>
      <w:r w:rsidR="00ED48C1" w:rsidRPr="00ED48C1">
        <w:rPr>
          <w:bCs/>
          <w:color w:val="000000"/>
        </w:rPr>
        <w:t xml:space="preserve">. </w:t>
      </w:r>
      <w:r w:rsidR="00B30976" w:rsidRPr="00B30976">
        <w:rPr>
          <w:bCs/>
          <w:color w:val="000000"/>
        </w:rPr>
        <w:t>Материал, физико-механические и биологические свойства, а также морфология конструкции должны в максимально возможной степени соответствовать характеристикам нативной ткани. Такой каркас должен обеспечивать структурную поддержку, способствовать адгезии, пролиферации и дифференциро</w:t>
      </w:r>
      <w:r w:rsidR="00B30976">
        <w:rPr>
          <w:bCs/>
          <w:color w:val="000000"/>
        </w:rPr>
        <w:t>ванию</w:t>
      </w:r>
      <w:r w:rsidR="00B30976" w:rsidRPr="00B30976">
        <w:rPr>
          <w:bCs/>
          <w:color w:val="000000"/>
        </w:rPr>
        <w:t xml:space="preserve"> клеток, соответствовать анатомическим особенностям дефекта и сохранять функциональную стабильность в условиях физиологических нагрузок.</w:t>
      </w:r>
    </w:p>
    <w:p w14:paraId="668CAABE" w14:textId="77777777" w:rsidR="00161121" w:rsidRDefault="00B30976" w:rsidP="00161121">
      <w:pPr>
        <w:ind w:firstLine="397"/>
        <w:jc w:val="both"/>
        <w:rPr>
          <w:bCs/>
          <w:color w:val="000000"/>
          <w:lang w:val="en-US"/>
        </w:rPr>
      </w:pPr>
      <w:r w:rsidRPr="00B30976">
        <w:rPr>
          <w:bCs/>
          <w:color w:val="000000"/>
        </w:rPr>
        <w:t>Вместе с тем одним из ключевых критериев выбора материала является отсутствие цитотоксических свойств. В процессе биодеградации материала не должно происходить высвобождения соединений, способных замедлять регенерацию тканей или нарушать функциональную активность клеток.</w:t>
      </w:r>
      <w:r w:rsidR="00161121" w:rsidRPr="00161121">
        <w:rPr>
          <w:bCs/>
          <w:color w:val="000000"/>
        </w:rPr>
        <w:t xml:space="preserve"> </w:t>
      </w:r>
      <w:r w:rsidRPr="00B30976">
        <w:rPr>
          <w:bCs/>
          <w:color w:val="000000"/>
        </w:rPr>
        <w:t xml:space="preserve">Одним из наиболее распространенных и методически доступных способов оценки цитотоксичности материалов </w:t>
      </w:r>
      <w:r w:rsidRPr="00B30976">
        <w:rPr>
          <w:bCs/>
          <w:i/>
          <w:iCs/>
          <w:color w:val="000000"/>
        </w:rPr>
        <w:t>in vitro</w:t>
      </w:r>
      <w:r w:rsidRPr="00B30976">
        <w:rPr>
          <w:bCs/>
          <w:color w:val="000000"/>
        </w:rPr>
        <w:t xml:space="preserve"> является МТТ-тест, основанный на восстановлении тетразолиевого красителя 3-(4,5-диметилтиазол-2-ил)-2,5-дифенилтетразолий бромида клеточными оксидоредуктазами, что отражает уровень метаболической активности жизнеспособных клеток.</w:t>
      </w:r>
      <w:r w:rsidR="00581087">
        <w:rPr>
          <w:bCs/>
          <w:color w:val="000000"/>
        </w:rPr>
        <w:t xml:space="preserve"> </w:t>
      </w:r>
    </w:p>
    <w:p w14:paraId="1388C0B5" w14:textId="77777777" w:rsidR="00161121" w:rsidRDefault="00581087" w:rsidP="00161121">
      <w:pPr>
        <w:ind w:firstLine="397"/>
        <w:jc w:val="both"/>
        <w:rPr>
          <w:bCs/>
          <w:color w:val="000000"/>
          <w:lang w:val="en-US"/>
        </w:rPr>
      </w:pPr>
      <w:r w:rsidRPr="00581087">
        <w:rPr>
          <w:bCs/>
          <w:color w:val="000000"/>
        </w:rPr>
        <w:t xml:space="preserve">В настоящем исследовании </w:t>
      </w:r>
      <w:r>
        <w:rPr>
          <w:bCs/>
          <w:color w:val="000000"/>
        </w:rPr>
        <w:t xml:space="preserve">была </w:t>
      </w:r>
      <w:r w:rsidRPr="00581087">
        <w:rPr>
          <w:bCs/>
          <w:color w:val="000000"/>
        </w:rPr>
        <w:t xml:space="preserve">проведена оценка влияния 3D-биорезорбируемых скаффолдов, изготовленных из полилактогликолида (ПЛГ) и карбоксиметилцеллюлозы (КМЦ), на метаболическую активность и жизнеспособность мезенхимальных стволовых клеток (МСК) с использованием МТТ-теста. </w:t>
      </w:r>
    </w:p>
    <w:p w14:paraId="3EE8A367" w14:textId="1FD296AC" w:rsidR="003B75C7" w:rsidRDefault="00581087" w:rsidP="00161121">
      <w:pPr>
        <w:ind w:firstLine="397"/>
        <w:jc w:val="both"/>
        <w:rPr>
          <w:bCs/>
          <w:color w:val="000000"/>
        </w:rPr>
      </w:pPr>
      <w:r w:rsidRPr="00581087">
        <w:rPr>
          <w:bCs/>
          <w:color w:val="000000"/>
        </w:rPr>
        <w:t xml:space="preserve">С этой целью были выполнены серии экспериментов, включавшие инкубацию клеток как в условиях прямого контакта со скаффолдами, так и в присутствии экстрактов скаффолдов, приготовленных в полной ростовой среде. </w:t>
      </w:r>
      <w:r w:rsidR="00862EC4">
        <w:rPr>
          <w:bCs/>
          <w:color w:val="000000"/>
        </w:rPr>
        <w:t xml:space="preserve">Для этого суспензии клеткок помещали на планшеты для культивирования и вносили скаффолды либо их экстракты на 48 часов, после чего проводили МТТ-тест. </w:t>
      </w:r>
      <w:r w:rsidRPr="00581087">
        <w:rPr>
          <w:bCs/>
          <w:color w:val="000000"/>
        </w:rPr>
        <w:t xml:space="preserve">По результатам исследования установлено наличие цитотоксического действия КМЦ </w:t>
      </w:r>
      <w:r w:rsidR="003E0687">
        <w:rPr>
          <w:bCs/>
          <w:color w:val="000000"/>
        </w:rPr>
        <w:t>– выживаемость клеток снизилась до 25-30%</w:t>
      </w:r>
      <w:r w:rsidR="00862EC4">
        <w:rPr>
          <w:bCs/>
          <w:color w:val="000000"/>
        </w:rPr>
        <w:t xml:space="preserve"> в обоих случаях</w:t>
      </w:r>
      <w:r w:rsidR="003E0687">
        <w:rPr>
          <w:bCs/>
          <w:color w:val="000000"/>
        </w:rPr>
        <w:t xml:space="preserve">. </w:t>
      </w:r>
      <w:r w:rsidR="00862EC4">
        <w:rPr>
          <w:bCs/>
          <w:color w:val="000000"/>
        </w:rPr>
        <w:t>В случае</w:t>
      </w:r>
      <w:r w:rsidRPr="00581087">
        <w:rPr>
          <w:bCs/>
          <w:color w:val="000000"/>
        </w:rPr>
        <w:t xml:space="preserve"> ПЛГ как при прямом контакте, так и при воздействии экстрактов</w:t>
      </w:r>
      <w:r w:rsidR="003E0687">
        <w:rPr>
          <w:bCs/>
          <w:color w:val="000000"/>
        </w:rPr>
        <w:t xml:space="preserve">, </w:t>
      </w:r>
      <w:r w:rsidR="00862EC4">
        <w:rPr>
          <w:bCs/>
          <w:color w:val="000000"/>
        </w:rPr>
        <w:t>наблюдалось</w:t>
      </w:r>
      <w:r w:rsidR="003E0687">
        <w:rPr>
          <w:bCs/>
          <w:color w:val="000000"/>
        </w:rPr>
        <w:t xml:space="preserve"> отсутстви</w:t>
      </w:r>
      <w:r w:rsidR="00862EC4">
        <w:rPr>
          <w:bCs/>
          <w:color w:val="000000"/>
        </w:rPr>
        <w:t xml:space="preserve">е </w:t>
      </w:r>
      <w:r w:rsidR="003E0687">
        <w:rPr>
          <w:bCs/>
          <w:color w:val="000000"/>
        </w:rPr>
        <w:t>значимой разницы в выживаемости клеток из групп контроля и контактировавшими с ПЛГ</w:t>
      </w:r>
      <w:r w:rsidRPr="00581087">
        <w:rPr>
          <w:bCs/>
          <w:color w:val="000000"/>
        </w:rPr>
        <w:t>. Полученные данные позволили обосновать выбор ПЛГ в качестве материала для дальнейших исследований.</w:t>
      </w:r>
      <w:r>
        <w:rPr>
          <w:bCs/>
          <w:color w:val="000000"/>
        </w:rPr>
        <w:t xml:space="preserve"> </w:t>
      </w:r>
    </w:p>
    <w:p w14:paraId="12AC7DFF" w14:textId="08E471A6" w:rsidR="00581087" w:rsidRPr="00581087" w:rsidRDefault="00581087" w:rsidP="00581087">
      <w:pPr>
        <w:ind w:firstLine="397"/>
        <w:jc w:val="both"/>
        <w:rPr>
          <w:bCs/>
          <w:color w:val="000000"/>
        </w:rPr>
      </w:pPr>
      <w:r>
        <w:rPr>
          <w:i/>
          <w:iCs/>
          <w:color w:val="000000"/>
        </w:rPr>
        <w:t>Работа выполнена при поддержке государственного задания «Разработка 3D -биорезорбируемого скаффолда для реконструкции молочной железы» №</w:t>
      </w:r>
      <w:r>
        <w:rPr>
          <w:rFonts w:ascii="Aptos" w:hAnsi="Aptos"/>
          <w:color w:val="000000"/>
        </w:rPr>
        <w:t xml:space="preserve"> </w:t>
      </w:r>
      <w:r>
        <w:rPr>
          <w:i/>
          <w:iCs/>
          <w:color w:val="000000"/>
        </w:rPr>
        <w:t>125050605838-9.</w:t>
      </w:r>
    </w:p>
    <w:p w14:paraId="1DC5C2CA" w14:textId="0F248BFD" w:rsidR="0073643C" w:rsidRPr="00091C0B" w:rsidRDefault="0073643C" w:rsidP="00581087">
      <w:pPr>
        <w:jc w:val="center"/>
        <w:rPr>
          <w:b/>
          <w:color w:val="000000"/>
          <w:lang w:val="en-US"/>
        </w:rPr>
      </w:pPr>
      <w:r w:rsidRPr="0073643C">
        <w:rPr>
          <w:b/>
          <w:color w:val="000000"/>
        </w:rPr>
        <w:t>Литература</w:t>
      </w:r>
    </w:p>
    <w:p w14:paraId="1667C55A" w14:textId="11DBAA30" w:rsidR="00D60C8B" w:rsidRPr="00161121" w:rsidRDefault="00D60C8B" w:rsidP="00D60C8B">
      <w:pPr>
        <w:rPr>
          <w:bCs/>
          <w:color w:val="000000"/>
          <w:lang w:val="en-US"/>
        </w:rPr>
      </w:pPr>
      <w:r w:rsidRPr="00D60C8B">
        <w:rPr>
          <w:bCs/>
          <w:color w:val="000000"/>
          <w:lang w:val="en-US"/>
        </w:rPr>
        <w:t xml:space="preserve">1. Asti A., Gioglio L. Natural and synthetic biodegradable polymers: different scaffolds for cell expansion and tissue formation // The Int. </w:t>
      </w:r>
      <w:r>
        <w:rPr>
          <w:bCs/>
          <w:color w:val="000000"/>
          <w:lang w:val="en-US"/>
        </w:rPr>
        <w:t>J</w:t>
      </w:r>
      <w:r w:rsidRPr="00D60C8B">
        <w:rPr>
          <w:bCs/>
          <w:color w:val="000000"/>
          <w:lang w:val="en-US"/>
        </w:rPr>
        <w:t xml:space="preserve">. of </w:t>
      </w:r>
      <w:r>
        <w:rPr>
          <w:bCs/>
          <w:color w:val="000000"/>
          <w:lang w:val="en-US"/>
        </w:rPr>
        <w:t>A</w:t>
      </w:r>
      <w:r w:rsidRPr="00D60C8B">
        <w:rPr>
          <w:bCs/>
          <w:color w:val="000000"/>
          <w:lang w:val="en-US"/>
        </w:rPr>
        <w:t>rt. Org.</w:t>
      </w:r>
      <w:r w:rsidR="00161121" w:rsidRPr="00161121">
        <w:rPr>
          <w:bCs/>
          <w:color w:val="000000"/>
          <w:lang w:val="en-US"/>
        </w:rPr>
        <w:t xml:space="preserve"> </w:t>
      </w:r>
      <w:r w:rsidRPr="00161121">
        <w:rPr>
          <w:bCs/>
          <w:color w:val="000000"/>
          <w:lang w:val="en-US"/>
        </w:rPr>
        <w:t>2014</w:t>
      </w:r>
      <w:r w:rsidR="00161121">
        <w:rPr>
          <w:bCs/>
          <w:color w:val="000000"/>
          <w:lang w:val="en-US"/>
        </w:rPr>
        <w:t xml:space="preserve">. Vol. </w:t>
      </w:r>
      <w:r w:rsidRPr="00161121">
        <w:rPr>
          <w:bCs/>
          <w:color w:val="000000"/>
          <w:lang w:val="en-US"/>
        </w:rPr>
        <w:t>37</w:t>
      </w:r>
      <w:r w:rsidR="00161121">
        <w:rPr>
          <w:bCs/>
          <w:color w:val="000000"/>
          <w:lang w:val="en-US"/>
        </w:rPr>
        <w:t>. P</w:t>
      </w:r>
      <w:r w:rsidRPr="00161121">
        <w:rPr>
          <w:bCs/>
          <w:color w:val="000000"/>
          <w:lang w:val="en-US"/>
        </w:rPr>
        <w:t>. 187-205.</w:t>
      </w:r>
    </w:p>
    <w:sectPr w:rsidR="00D60C8B" w:rsidRPr="00161121" w:rsidSect="0073643C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061860">
    <w:abstractNumId w:val="2"/>
  </w:num>
  <w:num w:numId="2" w16cid:durableId="1755660878">
    <w:abstractNumId w:val="3"/>
  </w:num>
  <w:num w:numId="3" w16cid:durableId="1037387426">
    <w:abstractNumId w:val="1"/>
  </w:num>
  <w:num w:numId="4" w16cid:durableId="8842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OST-Appearance-Ord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f0tst0r4tewz5exx20px9toaaeexrtv9z9f&quot;&gt;My EndNote Library&lt;record-ids&gt;&lt;item&gt;1&lt;/item&gt;&lt;/record-ids&gt;&lt;/item&gt;&lt;/Libraries&gt;"/>
  </w:docVars>
  <w:rsids>
    <w:rsidRoot w:val="00130241"/>
    <w:rsid w:val="00063966"/>
    <w:rsid w:val="00075D6E"/>
    <w:rsid w:val="00086081"/>
    <w:rsid w:val="00091C0B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61121"/>
    <w:rsid w:val="001E61C2"/>
    <w:rsid w:val="001F0493"/>
    <w:rsid w:val="0022260A"/>
    <w:rsid w:val="002264EE"/>
    <w:rsid w:val="0023307C"/>
    <w:rsid w:val="00286454"/>
    <w:rsid w:val="002B1CD0"/>
    <w:rsid w:val="0031361E"/>
    <w:rsid w:val="00344930"/>
    <w:rsid w:val="00373E2D"/>
    <w:rsid w:val="00391C38"/>
    <w:rsid w:val="003B75C7"/>
    <w:rsid w:val="003B76D6"/>
    <w:rsid w:val="003D09AD"/>
    <w:rsid w:val="003E0687"/>
    <w:rsid w:val="003E2601"/>
    <w:rsid w:val="003F4E6B"/>
    <w:rsid w:val="004A26A3"/>
    <w:rsid w:val="004F0EDF"/>
    <w:rsid w:val="00522BF1"/>
    <w:rsid w:val="00581087"/>
    <w:rsid w:val="00590166"/>
    <w:rsid w:val="005B07E6"/>
    <w:rsid w:val="005D022B"/>
    <w:rsid w:val="005E5BE9"/>
    <w:rsid w:val="00665279"/>
    <w:rsid w:val="0069427D"/>
    <w:rsid w:val="006F7A19"/>
    <w:rsid w:val="00705378"/>
    <w:rsid w:val="007213E1"/>
    <w:rsid w:val="0073643C"/>
    <w:rsid w:val="00775389"/>
    <w:rsid w:val="00797838"/>
    <w:rsid w:val="007C36D8"/>
    <w:rsid w:val="007F2744"/>
    <w:rsid w:val="00862EC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1D62"/>
    <w:rsid w:val="00AD7380"/>
    <w:rsid w:val="00B30976"/>
    <w:rsid w:val="00BF36F8"/>
    <w:rsid w:val="00BF4622"/>
    <w:rsid w:val="00C36346"/>
    <w:rsid w:val="00C844E2"/>
    <w:rsid w:val="00C962B6"/>
    <w:rsid w:val="00CD00B1"/>
    <w:rsid w:val="00CE2E16"/>
    <w:rsid w:val="00D22306"/>
    <w:rsid w:val="00D37D84"/>
    <w:rsid w:val="00D42542"/>
    <w:rsid w:val="00D50086"/>
    <w:rsid w:val="00D60C8B"/>
    <w:rsid w:val="00D8121C"/>
    <w:rsid w:val="00DD47C4"/>
    <w:rsid w:val="00E22189"/>
    <w:rsid w:val="00E74069"/>
    <w:rsid w:val="00E81D35"/>
    <w:rsid w:val="00EB1F49"/>
    <w:rsid w:val="00ED48C1"/>
    <w:rsid w:val="00F37B70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ED48C1"/>
    <w:pPr>
      <w:jc w:val="center"/>
    </w:pPr>
    <w:rPr>
      <w:noProof/>
    </w:rPr>
  </w:style>
  <w:style w:type="character" w:customStyle="1" w:styleId="EndNoteBibliographyTitle0">
    <w:name w:val="EndNote Bibliography Title Знак"/>
    <w:basedOn w:val="a0"/>
    <w:link w:val="EndNoteBibliographyTitle"/>
    <w:rsid w:val="00ED48C1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ED48C1"/>
    <w:pPr>
      <w:jc w:val="both"/>
    </w:pPr>
    <w:rPr>
      <w:noProof/>
    </w:rPr>
  </w:style>
  <w:style w:type="character" w:customStyle="1" w:styleId="EndNoteBibliography0">
    <w:name w:val="EndNote Bibliography Знак"/>
    <w:basedOn w:val="a0"/>
    <w:link w:val="EndNoteBibliography"/>
    <w:rsid w:val="00ED48C1"/>
    <w:rPr>
      <w:rFonts w:ascii="Times New Roman" w:eastAsia="Times New Roman" w:hAnsi="Times New Roman" w:cs="Times New Roman"/>
      <w:noProof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5810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atovnikita080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5C9591-26BC-4CAB-B074-40A43EBC5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fox white</cp:lastModifiedBy>
  <cp:revision>7</cp:revision>
  <cp:lastPrinted>2026-01-28T14:24:00Z</cp:lastPrinted>
  <dcterms:created xsi:type="dcterms:W3CDTF">2026-01-28T14:24:00Z</dcterms:created>
  <dcterms:modified xsi:type="dcterms:W3CDTF">2026-03-15T18:55:00Z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