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484CA" w14:textId="77777777" w:rsidR="006C460B" w:rsidRDefault="00160F93" w:rsidP="006C460B">
      <w:pPr>
        <w:pStyle w:val="p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Получение и </w:t>
      </w:r>
      <w:proofErr w:type="spellStart"/>
      <w:r>
        <w:rPr>
          <w:b/>
          <w:bCs/>
        </w:rPr>
        <w:t>характеризация</w:t>
      </w:r>
      <w:proofErr w:type="spellEnd"/>
      <w:r>
        <w:rPr>
          <w:b/>
          <w:bCs/>
        </w:rPr>
        <w:t xml:space="preserve"> блок-</w:t>
      </w:r>
      <w:proofErr w:type="spellStart"/>
      <w:r>
        <w:rPr>
          <w:b/>
          <w:bCs/>
        </w:rPr>
        <w:t>иономерных</w:t>
      </w:r>
      <w:proofErr w:type="spellEnd"/>
      <w:r>
        <w:rPr>
          <w:b/>
          <w:bCs/>
        </w:rPr>
        <w:t xml:space="preserve"> комплексов на основе ферментов </w:t>
      </w:r>
      <w:proofErr w:type="spellStart"/>
      <w:r>
        <w:rPr>
          <w:b/>
          <w:bCs/>
        </w:rPr>
        <w:t>супероксиддисмутазы</w:t>
      </w:r>
      <w:proofErr w:type="spellEnd"/>
      <w:r>
        <w:rPr>
          <w:b/>
          <w:bCs/>
        </w:rPr>
        <w:t xml:space="preserve"> и каталазы</w:t>
      </w:r>
    </w:p>
    <w:p w14:paraId="6DBE5507" w14:textId="77777777" w:rsidR="006C460B" w:rsidRDefault="00160F93" w:rsidP="006C460B">
      <w:pPr>
        <w:pStyle w:val="p1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i/>
          <w:color w:val="000000"/>
        </w:rPr>
        <w:t>Мирзаева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Э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CE7E13" w:rsidRPr="00CE7E13">
        <w:rPr>
          <w:b/>
          <w:i/>
          <w:color w:val="000000"/>
        </w:rPr>
        <w:t xml:space="preserve"> </w:t>
      </w:r>
      <w:proofErr w:type="spellStart"/>
      <w:r w:rsidR="00CE7E13">
        <w:rPr>
          <w:b/>
          <w:i/>
          <w:color w:val="000000"/>
        </w:rPr>
        <w:t>Дорощенко</w:t>
      </w:r>
      <w:proofErr w:type="spellEnd"/>
      <w:r w:rsidR="00CE7E13">
        <w:rPr>
          <w:b/>
          <w:i/>
          <w:color w:val="000000"/>
        </w:rPr>
        <w:t xml:space="preserve"> А.В.</w:t>
      </w:r>
      <w:r w:rsidR="00FD765F" w:rsidRPr="00FD765F">
        <w:rPr>
          <w:b/>
          <w:i/>
          <w:color w:val="000000"/>
        </w:rPr>
        <w:t>,</w:t>
      </w:r>
      <w:r w:rsidR="00CE7E13" w:rsidRPr="00CE7E13">
        <w:rPr>
          <w:b/>
          <w:i/>
          <w:color w:val="000000"/>
        </w:rPr>
        <w:t xml:space="preserve"> </w:t>
      </w:r>
      <w:r w:rsidR="00CE7E13">
        <w:rPr>
          <w:b/>
          <w:i/>
          <w:color w:val="000000"/>
        </w:rPr>
        <w:t>Лопухов А.В</w:t>
      </w:r>
      <w:r w:rsidR="009D1C01" w:rsidRPr="009D1C01">
        <w:rPr>
          <w:b/>
          <w:i/>
          <w:color w:val="000000"/>
        </w:rPr>
        <w:t>.</w:t>
      </w:r>
      <w:r w:rsidR="00FD765F">
        <w:rPr>
          <w:b/>
          <w:i/>
          <w:color w:val="000000"/>
        </w:rPr>
        <w:t>, Клячко Н.Л.</w:t>
      </w:r>
      <w:r w:rsidR="00EB1F49" w:rsidRPr="00BF4622">
        <w:rPr>
          <w:b/>
          <w:color w:val="000000"/>
        </w:rPr>
        <w:t xml:space="preserve"> </w:t>
      </w:r>
    </w:p>
    <w:p w14:paraId="00000003" w14:textId="73465F2E" w:rsidR="00130241" w:rsidRPr="006C460B" w:rsidRDefault="00EB1F49" w:rsidP="006C460B">
      <w:pPr>
        <w:pStyle w:val="p1"/>
        <w:spacing w:before="0" w:beforeAutospacing="0" w:after="0" w:afterAutospacing="0"/>
        <w:jc w:val="center"/>
      </w:pPr>
      <w:r>
        <w:rPr>
          <w:i/>
          <w:color w:val="000000"/>
        </w:rPr>
        <w:t xml:space="preserve">Студент, </w:t>
      </w:r>
      <w:r w:rsidR="00160F93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5" w14:textId="14DE1F2A" w:rsidR="00130241" w:rsidRPr="000E334E" w:rsidRDefault="00EB1F49" w:rsidP="006C46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43D4C576" w:rsidR="00130241" w:rsidRPr="00FD765F" w:rsidRDefault="00EB1F49" w:rsidP="006C46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D765F">
        <w:rPr>
          <w:i/>
          <w:color w:val="000000"/>
          <w:lang w:val="en-US"/>
        </w:rPr>
        <w:t>E</w:t>
      </w:r>
      <w:r w:rsidR="003B76D6" w:rsidRPr="00FD765F">
        <w:rPr>
          <w:i/>
          <w:color w:val="000000"/>
          <w:lang w:val="en-US"/>
        </w:rPr>
        <w:t>-</w:t>
      </w:r>
      <w:r w:rsidRPr="00FD765F">
        <w:rPr>
          <w:i/>
          <w:color w:val="000000"/>
          <w:lang w:val="en-US"/>
        </w:rPr>
        <w:t xml:space="preserve">mail: </w:t>
      </w:r>
      <w:r w:rsidR="00160F93" w:rsidRPr="00FD765F">
        <w:rPr>
          <w:i/>
          <w:color w:val="000000"/>
          <w:u w:val="single"/>
          <w:lang w:val="en-US"/>
        </w:rPr>
        <w:t>sabina.mirzaeva@chemistry.msu.ru</w:t>
      </w:r>
      <w:r w:rsidRPr="00FD765F">
        <w:rPr>
          <w:i/>
          <w:color w:val="000000"/>
          <w:lang w:val="en-US"/>
        </w:rPr>
        <w:t xml:space="preserve"> </w:t>
      </w:r>
    </w:p>
    <w:p w14:paraId="4880A0AF" w14:textId="554314CA" w:rsidR="00F55054" w:rsidRPr="00797838" w:rsidRDefault="00160F93" w:rsidP="009D1C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60F93">
        <w:rPr>
          <w:color w:val="000000"/>
        </w:rPr>
        <w:t xml:space="preserve">Окислительный стресс играет ключевую роль в развитии воспалительных и дегенеративных заболеваний. Антиоксидантные ферменты </w:t>
      </w:r>
      <w:proofErr w:type="spellStart"/>
      <w:r w:rsidRPr="00160F93">
        <w:rPr>
          <w:color w:val="000000"/>
        </w:rPr>
        <w:t>супероксиддисмутаза</w:t>
      </w:r>
      <w:proofErr w:type="spellEnd"/>
      <w:r w:rsidRPr="00160F93">
        <w:rPr>
          <w:color w:val="000000"/>
        </w:rPr>
        <w:t xml:space="preserve"> (СОД) и каталаза обеспечивают последовательную </w:t>
      </w:r>
      <w:r w:rsidR="002D564A">
        <w:rPr>
          <w:color w:val="000000"/>
        </w:rPr>
        <w:t>нейтрализацию</w:t>
      </w:r>
      <w:r w:rsidRPr="00160F93">
        <w:rPr>
          <w:color w:val="000000"/>
        </w:rPr>
        <w:t xml:space="preserve"> активных форм кислорода, однако их терапевтическое применение ограничено низкой стабильностью и быстрой инактивацией </w:t>
      </w:r>
      <w:proofErr w:type="spellStart"/>
      <w:r w:rsidRPr="002D564A">
        <w:rPr>
          <w:i/>
          <w:iCs/>
          <w:color w:val="000000"/>
        </w:rPr>
        <w:t>in</w:t>
      </w:r>
      <w:proofErr w:type="spellEnd"/>
      <w:r w:rsidRPr="002D564A">
        <w:rPr>
          <w:i/>
          <w:iCs/>
          <w:color w:val="000000"/>
        </w:rPr>
        <w:t xml:space="preserve"> </w:t>
      </w:r>
      <w:proofErr w:type="spellStart"/>
      <w:r w:rsidRPr="002D564A">
        <w:rPr>
          <w:i/>
          <w:iCs/>
          <w:color w:val="000000"/>
        </w:rPr>
        <w:t>vivo</w:t>
      </w:r>
      <w:proofErr w:type="spellEnd"/>
      <w:r w:rsidRPr="00160F93">
        <w:rPr>
          <w:color w:val="000000"/>
        </w:rPr>
        <w:t>. Формирование полимерных наноструктур рассматривается как перспективный подход к повышению устойчивости ферментов и их биодоступности [1].</w:t>
      </w:r>
    </w:p>
    <w:p w14:paraId="3F871D98" w14:textId="6C0349AA" w:rsidR="00D42542" w:rsidRDefault="00160F93" w:rsidP="009D1C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60F93">
        <w:rPr>
          <w:color w:val="000000"/>
        </w:rPr>
        <w:t xml:space="preserve">Целью работы является получение и физико-химическая </w:t>
      </w:r>
      <w:proofErr w:type="spellStart"/>
      <w:r w:rsidRPr="00160F93">
        <w:rPr>
          <w:color w:val="000000"/>
        </w:rPr>
        <w:t>характеризация</w:t>
      </w:r>
      <w:proofErr w:type="spellEnd"/>
      <w:r w:rsidRPr="00160F93">
        <w:rPr>
          <w:color w:val="000000"/>
        </w:rPr>
        <w:t xml:space="preserve"> блок-</w:t>
      </w:r>
      <w:proofErr w:type="spellStart"/>
      <w:r w:rsidRPr="00160F93">
        <w:rPr>
          <w:color w:val="000000"/>
        </w:rPr>
        <w:t>иономерных</w:t>
      </w:r>
      <w:proofErr w:type="spellEnd"/>
      <w:r w:rsidRPr="00160F93">
        <w:rPr>
          <w:color w:val="000000"/>
        </w:rPr>
        <w:t xml:space="preserve"> комплексов </w:t>
      </w:r>
      <w:proofErr w:type="spellStart"/>
      <w:r w:rsidRPr="00160F93">
        <w:rPr>
          <w:color w:val="000000"/>
        </w:rPr>
        <w:t>супероксиддисмутазы</w:t>
      </w:r>
      <w:proofErr w:type="spellEnd"/>
      <w:r w:rsidRPr="00160F93">
        <w:rPr>
          <w:color w:val="000000"/>
        </w:rPr>
        <w:t xml:space="preserve"> и каталазы с катионным блок-сополимером </w:t>
      </w:r>
      <w:proofErr w:type="spellStart"/>
      <w:r w:rsidRPr="00160F93">
        <w:rPr>
          <w:color w:val="000000"/>
        </w:rPr>
        <w:t>полиэтиленгликоль</w:t>
      </w:r>
      <w:proofErr w:type="spellEnd"/>
      <w:r w:rsidRPr="00160F93">
        <w:rPr>
          <w:color w:val="000000"/>
        </w:rPr>
        <w:t>-поли-L-лизином (PEG-PLL), а также исследование влияния степени сшивки на свойства полученных наночастиц.</w:t>
      </w:r>
    </w:p>
    <w:p w14:paraId="387BD3D9" w14:textId="77777777" w:rsidR="00686599" w:rsidRPr="00686599" w:rsidRDefault="00686599" w:rsidP="009D1C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86599">
        <w:rPr>
          <w:color w:val="000000"/>
        </w:rPr>
        <w:t xml:space="preserve">Комплексы получали методом самосборки за счёт электростатического взаимодействия анионных ферментов с катионным блоком поли-L-лизина. Для стабилизации использовали </w:t>
      </w:r>
      <w:proofErr w:type="spellStart"/>
      <w:r w:rsidRPr="00686599">
        <w:rPr>
          <w:color w:val="000000"/>
        </w:rPr>
        <w:t>генипин</w:t>
      </w:r>
      <w:proofErr w:type="spellEnd"/>
      <w:r w:rsidRPr="00686599">
        <w:rPr>
          <w:color w:val="000000"/>
        </w:rPr>
        <w:t xml:space="preserve"> — природный биосовместимый </w:t>
      </w:r>
      <w:proofErr w:type="spellStart"/>
      <w:r w:rsidRPr="00686599">
        <w:rPr>
          <w:color w:val="000000"/>
        </w:rPr>
        <w:t>кросслинкер</w:t>
      </w:r>
      <w:proofErr w:type="spellEnd"/>
      <w:r w:rsidRPr="00686599">
        <w:rPr>
          <w:color w:val="000000"/>
        </w:rPr>
        <w:t xml:space="preserve"> с низкой цитотоксичностью, обеспечивающий формирование устойчивых полимер-ферментных наноструктур, перспективных для биомедицинских применений.</w:t>
      </w:r>
    </w:p>
    <w:p w14:paraId="16CFE198" w14:textId="54108FF0" w:rsidR="00686599" w:rsidRDefault="00686599" w:rsidP="009D1C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86599">
        <w:rPr>
          <w:color w:val="000000"/>
        </w:rPr>
        <w:t xml:space="preserve">Для </w:t>
      </w:r>
      <w:proofErr w:type="spellStart"/>
      <w:r w:rsidRPr="00686599">
        <w:rPr>
          <w:color w:val="000000"/>
        </w:rPr>
        <w:t>супероксиддисмутазы</w:t>
      </w:r>
      <w:proofErr w:type="spellEnd"/>
      <w:r w:rsidRPr="00686599">
        <w:rPr>
          <w:color w:val="000000"/>
        </w:rPr>
        <w:t xml:space="preserve"> получены несшитые комплексы и системы со степенью сшивки 25, 50 и 100%; несшитые структуры сохраняют 40% остаточной каталитической активности. Для каталазы оптимизировано соотношение полимера и фермента и получены комплексы со степенью сшивки 50 и 100%. </w:t>
      </w:r>
      <w:r>
        <w:rPr>
          <w:color w:val="000000"/>
        </w:rPr>
        <w:t>Р</w:t>
      </w:r>
      <w:r w:rsidRPr="00686599">
        <w:rPr>
          <w:color w:val="000000"/>
        </w:rPr>
        <w:t xml:space="preserve">азмер частиц определяли методами </w:t>
      </w:r>
      <w:r w:rsidR="00FD765F" w:rsidRPr="00FD765F">
        <w:rPr>
          <w:color w:val="000000"/>
        </w:rPr>
        <w:t>спектроскопи</w:t>
      </w:r>
      <w:r w:rsidR="00FD765F">
        <w:rPr>
          <w:color w:val="000000"/>
        </w:rPr>
        <w:t>и</w:t>
      </w:r>
      <w:r w:rsidR="00FD765F" w:rsidRPr="00FD765F">
        <w:rPr>
          <w:color w:val="000000"/>
        </w:rPr>
        <w:t xml:space="preserve"> динамического светорассеяния и анализ</w:t>
      </w:r>
      <w:r w:rsidR="00FD765F">
        <w:rPr>
          <w:color w:val="000000"/>
        </w:rPr>
        <w:t>а</w:t>
      </w:r>
      <w:r w:rsidR="00FD765F" w:rsidRPr="00FD765F">
        <w:rPr>
          <w:color w:val="000000"/>
        </w:rPr>
        <w:t xml:space="preserve"> траекторий наночастиц</w:t>
      </w:r>
      <w:r w:rsidRPr="00686599">
        <w:rPr>
          <w:color w:val="000000"/>
        </w:rPr>
        <w:t xml:space="preserve">, концентрацию белка — </w:t>
      </w:r>
      <w:proofErr w:type="spellStart"/>
      <w:r w:rsidR="00FD765F" w:rsidRPr="00FD765F">
        <w:rPr>
          <w:color w:val="000000"/>
        </w:rPr>
        <w:t>колориметрически</w:t>
      </w:r>
      <w:proofErr w:type="spellEnd"/>
      <w:r w:rsidR="00FD765F" w:rsidRPr="00FD765F">
        <w:rPr>
          <w:color w:val="000000"/>
        </w:rPr>
        <w:t xml:space="preserve"> с использованием реагента </w:t>
      </w:r>
      <w:proofErr w:type="spellStart"/>
      <w:r w:rsidR="00FD765F" w:rsidRPr="00FD765F">
        <w:rPr>
          <w:color w:val="000000"/>
        </w:rPr>
        <w:t>бицинхониновой</w:t>
      </w:r>
      <w:proofErr w:type="spellEnd"/>
      <w:r w:rsidR="00FD765F" w:rsidRPr="00FD765F">
        <w:rPr>
          <w:color w:val="000000"/>
        </w:rPr>
        <w:t xml:space="preserve"> кислоты</w:t>
      </w:r>
      <w:r w:rsidRPr="00686599">
        <w:rPr>
          <w:color w:val="000000"/>
        </w:rPr>
        <w:t xml:space="preserve">, активность СОД — по ингибированию </w:t>
      </w:r>
      <w:proofErr w:type="spellStart"/>
      <w:r w:rsidRPr="00686599">
        <w:rPr>
          <w:color w:val="000000"/>
        </w:rPr>
        <w:t>автоокисления</w:t>
      </w:r>
      <w:proofErr w:type="spellEnd"/>
      <w:r w:rsidRPr="00686599">
        <w:rPr>
          <w:color w:val="000000"/>
        </w:rPr>
        <w:t xml:space="preserve"> пирогаллола. Показана возможность получения блок-</w:t>
      </w:r>
      <w:proofErr w:type="spellStart"/>
      <w:r w:rsidRPr="00686599">
        <w:rPr>
          <w:color w:val="000000"/>
        </w:rPr>
        <w:t>иономерных</w:t>
      </w:r>
      <w:proofErr w:type="spellEnd"/>
      <w:r w:rsidRPr="00686599">
        <w:rPr>
          <w:color w:val="000000"/>
        </w:rPr>
        <w:t xml:space="preserve"> комплексов с регулируемой степенью </w:t>
      </w:r>
      <w:proofErr w:type="spellStart"/>
      <w:r w:rsidRPr="00686599">
        <w:rPr>
          <w:color w:val="000000"/>
        </w:rPr>
        <w:t>генипиновой</w:t>
      </w:r>
      <w:proofErr w:type="spellEnd"/>
      <w:r w:rsidRPr="00686599">
        <w:rPr>
          <w:color w:val="000000"/>
        </w:rPr>
        <w:t xml:space="preserve"> сшивки.</w:t>
      </w:r>
      <w:r>
        <w:rPr>
          <w:color w:val="000000"/>
        </w:rPr>
        <w:t xml:space="preserve"> В дальнейшем планируется получение частиц с комбинацией ферментов </w:t>
      </w:r>
      <w:proofErr w:type="spellStart"/>
      <w:r>
        <w:rPr>
          <w:color w:val="000000"/>
        </w:rPr>
        <w:t>каталаза+супероксиддисмутаза</w:t>
      </w:r>
      <w:proofErr w:type="spellEnd"/>
      <w:r>
        <w:rPr>
          <w:color w:val="000000"/>
        </w:rPr>
        <w:t xml:space="preserve"> и оценка их антиоксидантной активности</w:t>
      </w:r>
      <w:r w:rsidR="00FD765F">
        <w:rPr>
          <w:color w:val="000000"/>
        </w:rPr>
        <w:t>.</w:t>
      </w:r>
    </w:p>
    <w:p w14:paraId="3AA21E2F" w14:textId="77777777" w:rsidR="009D1C01" w:rsidRDefault="00FD765F" w:rsidP="009D1C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D765F">
        <w:rPr>
          <w:i/>
          <w:iCs/>
          <w:color w:val="000000"/>
        </w:rPr>
        <w:t>Работа частично поддержана грантом РНФ 22-13-00261П, темами с гос. регистрацией 121041500039-8 и 123032300028-0 и Программой развития МГУ (покупка приборов).</w:t>
      </w:r>
      <w:r w:rsidR="009D1C01" w:rsidRPr="009D1C01">
        <w:rPr>
          <w:i/>
          <w:iCs/>
          <w:color w:val="000000"/>
        </w:rPr>
        <w:t xml:space="preserve"> </w:t>
      </w:r>
    </w:p>
    <w:p w14:paraId="0000000E" w14:textId="7002E899" w:rsidR="00130241" w:rsidRPr="009D1C01" w:rsidRDefault="00EB1F49" w:rsidP="009D1C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>
        <w:rPr>
          <w:b/>
          <w:color w:val="000000"/>
        </w:rPr>
        <w:t>Литература</w:t>
      </w:r>
    </w:p>
    <w:p w14:paraId="3486C755" w14:textId="5DCB623E" w:rsidR="00116478" w:rsidRPr="0047189B" w:rsidRDefault="00107AA3" w:rsidP="009D1C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C460B">
        <w:rPr>
          <w:color w:val="000000"/>
        </w:rPr>
        <w:t xml:space="preserve">1. </w:t>
      </w:r>
      <w:proofErr w:type="spellStart"/>
      <w:r w:rsidR="00686599" w:rsidRPr="00686599">
        <w:rPr>
          <w:color w:val="000000"/>
          <w:lang w:val="en-US"/>
        </w:rPr>
        <w:t>Klyachko</w:t>
      </w:r>
      <w:proofErr w:type="spellEnd"/>
      <w:r w:rsidR="00686599" w:rsidRPr="006C460B">
        <w:rPr>
          <w:color w:val="000000"/>
        </w:rPr>
        <w:t xml:space="preserve"> </w:t>
      </w:r>
      <w:r w:rsidR="00686599" w:rsidRPr="00686599">
        <w:rPr>
          <w:color w:val="000000"/>
          <w:lang w:val="en-US"/>
        </w:rPr>
        <w:t>N</w:t>
      </w:r>
      <w:r w:rsidR="00686599" w:rsidRPr="006C460B">
        <w:rPr>
          <w:color w:val="000000"/>
        </w:rPr>
        <w:t>.</w:t>
      </w:r>
      <w:r w:rsidR="00686599" w:rsidRPr="00686599">
        <w:rPr>
          <w:color w:val="000000"/>
          <w:lang w:val="en-US"/>
        </w:rPr>
        <w:t>L</w:t>
      </w:r>
      <w:r w:rsidR="00686599" w:rsidRPr="006C460B">
        <w:rPr>
          <w:color w:val="000000"/>
        </w:rPr>
        <w:t xml:space="preserve">., </w:t>
      </w:r>
      <w:r w:rsidR="00686599" w:rsidRPr="00686599">
        <w:rPr>
          <w:color w:val="000000"/>
          <w:lang w:val="en-US"/>
        </w:rPr>
        <w:t>Manickam</w:t>
      </w:r>
      <w:r w:rsidR="00686599" w:rsidRPr="006C460B">
        <w:rPr>
          <w:color w:val="000000"/>
        </w:rPr>
        <w:t xml:space="preserve"> </w:t>
      </w:r>
      <w:r w:rsidR="00686599" w:rsidRPr="00686599">
        <w:rPr>
          <w:color w:val="000000"/>
          <w:lang w:val="en-US"/>
        </w:rPr>
        <w:t>D</w:t>
      </w:r>
      <w:r w:rsidR="00686599" w:rsidRPr="006C460B">
        <w:rPr>
          <w:color w:val="000000"/>
        </w:rPr>
        <w:t>.</w:t>
      </w:r>
      <w:r w:rsidR="00686599" w:rsidRPr="00686599">
        <w:rPr>
          <w:color w:val="000000"/>
          <w:lang w:val="en-US"/>
        </w:rPr>
        <w:t>S</w:t>
      </w:r>
      <w:r w:rsidR="00686599" w:rsidRPr="006C460B">
        <w:rPr>
          <w:color w:val="000000"/>
        </w:rPr>
        <w:t xml:space="preserve">., </w:t>
      </w:r>
      <w:proofErr w:type="spellStart"/>
      <w:r w:rsidR="00686599" w:rsidRPr="00686599">
        <w:rPr>
          <w:color w:val="000000"/>
          <w:lang w:val="en-US"/>
        </w:rPr>
        <w:t>Brynskikh</w:t>
      </w:r>
      <w:proofErr w:type="spellEnd"/>
      <w:r w:rsidR="00686599" w:rsidRPr="006C460B">
        <w:rPr>
          <w:color w:val="000000"/>
        </w:rPr>
        <w:t xml:space="preserve"> </w:t>
      </w:r>
      <w:r w:rsidR="00686599" w:rsidRPr="00686599">
        <w:rPr>
          <w:color w:val="000000"/>
          <w:lang w:val="en-US"/>
        </w:rPr>
        <w:t>A</w:t>
      </w:r>
      <w:r w:rsidR="00686599" w:rsidRPr="006C460B">
        <w:rPr>
          <w:color w:val="000000"/>
        </w:rPr>
        <w:t>.</w:t>
      </w:r>
      <w:r w:rsidR="00686599" w:rsidRPr="00686599">
        <w:rPr>
          <w:color w:val="000000"/>
          <w:lang w:val="en-US"/>
        </w:rPr>
        <w:t>M</w:t>
      </w:r>
      <w:r w:rsidR="00686599" w:rsidRPr="006C460B">
        <w:rPr>
          <w:color w:val="000000"/>
        </w:rPr>
        <w:t xml:space="preserve">. </w:t>
      </w:r>
      <w:r w:rsidR="00686599" w:rsidRPr="00686599">
        <w:rPr>
          <w:color w:val="000000"/>
          <w:lang w:val="en-US"/>
        </w:rPr>
        <w:t>et</w:t>
      </w:r>
      <w:r w:rsidR="00686599" w:rsidRPr="006C460B">
        <w:rPr>
          <w:color w:val="000000"/>
        </w:rPr>
        <w:t xml:space="preserve"> </w:t>
      </w:r>
      <w:r w:rsidR="00686599" w:rsidRPr="00686599">
        <w:rPr>
          <w:color w:val="000000"/>
          <w:lang w:val="en-US"/>
        </w:rPr>
        <w:t>al</w:t>
      </w:r>
      <w:r w:rsidR="00686599" w:rsidRPr="006C460B">
        <w:rPr>
          <w:color w:val="000000"/>
        </w:rPr>
        <w:t xml:space="preserve">. </w:t>
      </w:r>
      <w:r w:rsidR="00686599" w:rsidRPr="00686599">
        <w:rPr>
          <w:color w:val="000000"/>
          <w:lang w:val="en-US"/>
        </w:rPr>
        <w:t>Cross-linked antioxidant nanozymes for improved delivery to CNS // Nanomedicine. 2012. Vol. 8. No. 1. P. 119–129.</w:t>
      </w:r>
    </w:p>
    <w:sectPr w:rsidR="00116478" w:rsidRPr="0047189B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971CD"/>
    <w:rsid w:val="000E334E"/>
    <w:rsid w:val="000F2B57"/>
    <w:rsid w:val="00101A1C"/>
    <w:rsid w:val="00103657"/>
    <w:rsid w:val="00106375"/>
    <w:rsid w:val="00107AA3"/>
    <w:rsid w:val="00116478"/>
    <w:rsid w:val="00130241"/>
    <w:rsid w:val="00160F93"/>
    <w:rsid w:val="001E61C2"/>
    <w:rsid w:val="001F0493"/>
    <w:rsid w:val="0022260A"/>
    <w:rsid w:val="002264EE"/>
    <w:rsid w:val="0023307C"/>
    <w:rsid w:val="002B1CD0"/>
    <w:rsid w:val="002D564A"/>
    <w:rsid w:val="0031361E"/>
    <w:rsid w:val="00344930"/>
    <w:rsid w:val="00373E2D"/>
    <w:rsid w:val="00391C38"/>
    <w:rsid w:val="003B76D6"/>
    <w:rsid w:val="003D09AD"/>
    <w:rsid w:val="003E2601"/>
    <w:rsid w:val="003F4E6B"/>
    <w:rsid w:val="0047189B"/>
    <w:rsid w:val="004A26A3"/>
    <w:rsid w:val="004D008F"/>
    <w:rsid w:val="004F0EDF"/>
    <w:rsid w:val="00522BF1"/>
    <w:rsid w:val="00590166"/>
    <w:rsid w:val="005B07E6"/>
    <w:rsid w:val="005D022B"/>
    <w:rsid w:val="005E5BE9"/>
    <w:rsid w:val="00665279"/>
    <w:rsid w:val="00686599"/>
    <w:rsid w:val="0069427D"/>
    <w:rsid w:val="006C460B"/>
    <w:rsid w:val="006F7A19"/>
    <w:rsid w:val="00705378"/>
    <w:rsid w:val="007213E1"/>
    <w:rsid w:val="00775389"/>
    <w:rsid w:val="00797838"/>
    <w:rsid w:val="007C36D8"/>
    <w:rsid w:val="007F2744"/>
    <w:rsid w:val="008931BE"/>
    <w:rsid w:val="008B5F4B"/>
    <w:rsid w:val="008C67E3"/>
    <w:rsid w:val="00914205"/>
    <w:rsid w:val="00921D45"/>
    <w:rsid w:val="009426C0"/>
    <w:rsid w:val="00980A65"/>
    <w:rsid w:val="009A6158"/>
    <w:rsid w:val="009A66DB"/>
    <w:rsid w:val="009B2F80"/>
    <w:rsid w:val="009B3300"/>
    <w:rsid w:val="009D1C01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CE7E13"/>
    <w:rsid w:val="00D22306"/>
    <w:rsid w:val="00D37D84"/>
    <w:rsid w:val="00D42542"/>
    <w:rsid w:val="00D8121C"/>
    <w:rsid w:val="00DD47C4"/>
    <w:rsid w:val="00E15769"/>
    <w:rsid w:val="00E22189"/>
    <w:rsid w:val="00E74069"/>
    <w:rsid w:val="00E81D35"/>
    <w:rsid w:val="00EB1F49"/>
    <w:rsid w:val="00F55054"/>
    <w:rsid w:val="00F865B3"/>
    <w:rsid w:val="00FA2140"/>
    <w:rsid w:val="00FB1509"/>
    <w:rsid w:val="00FD765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160F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 mirzaeva</cp:lastModifiedBy>
  <cp:revision>2</cp:revision>
  <cp:lastPrinted>2026-01-28T14:24:00Z</cp:lastPrinted>
  <dcterms:created xsi:type="dcterms:W3CDTF">2026-03-17T13:02:00Z</dcterms:created>
  <dcterms:modified xsi:type="dcterms:W3CDTF">2026-03-17T13:02:00Z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