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9259" w14:textId="02C81DFD" w:rsidR="007249F2" w:rsidRPr="007249F2" w:rsidRDefault="007C5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7C5E56">
        <w:rPr>
          <w:b/>
          <w:bCs/>
        </w:rPr>
        <w:t xml:space="preserve">Оптимизация условий проведения реакции окисления </w:t>
      </w:r>
      <w:proofErr w:type="spellStart"/>
      <w:r w:rsidRPr="007C5E56">
        <w:rPr>
          <w:b/>
          <w:bCs/>
        </w:rPr>
        <w:t>полиаминов</w:t>
      </w:r>
      <w:proofErr w:type="spellEnd"/>
      <w:r w:rsidRPr="007C5E56">
        <w:rPr>
          <w:b/>
          <w:bCs/>
        </w:rPr>
        <w:t xml:space="preserve"> для их последующей детекции в слюне</w:t>
      </w:r>
    </w:p>
    <w:p w14:paraId="00000002" w14:textId="69FABBF8" w:rsidR="00130241" w:rsidRPr="00F66379" w:rsidRDefault="00DF0891" w:rsidP="00CB1663">
      <w:pPr>
        <w:tabs>
          <w:tab w:val="left" w:pos="0"/>
        </w:tabs>
        <w:jc w:val="center"/>
        <w:rPr>
          <w:b/>
          <w:bCs/>
          <w:i/>
          <w:iCs/>
          <w:vertAlign w:val="superscript"/>
        </w:rPr>
      </w:pPr>
      <w:r w:rsidRPr="00F66379">
        <w:rPr>
          <w:b/>
          <w:bCs/>
          <w:i/>
          <w:iCs/>
          <w:lang w:eastAsia="en-US"/>
        </w:rPr>
        <w:t>Хасанова М.Р.</w:t>
      </w:r>
      <w:r w:rsidRPr="00F66379">
        <w:rPr>
          <w:b/>
          <w:bCs/>
          <w:i/>
          <w:iCs/>
          <w:vertAlign w:val="superscript"/>
          <w:lang w:eastAsia="en-US"/>
        </w:rPr>
        <w:t>1,</w:t>
      </w:r>
      <w:r w:rsidR="00117AFD" w:rsidRPr="00F66379">
        <w:rPr>
          <w:b/>
          <w:bCs/>
          <w:i/>
          <w:iCs/>
          <w:vertAlign w:val="superscript"/>
          <w:lang w:eastAsia="en-US"/>
        </w:rPr>
        <w:t>2</w:t>
      </w:r>
      <w:r w:rsidRPr="00F66379">
        <w:rPr>
          <w:b/>
          <w:bCs/>
          <w:i/>
          <w:iCs/>
          <w:lang w:eastAsia="en-US"/>
        </w:rPr>
        <w:t xml:space="preserve">, </w:t>
      </w:r>
      <w:r w:rsidR="00CB1663" w:rsidRPr="00F66379">
        <w:rPr>
          <w:b/>
          <w:bCs/>
          <w:i/>
          <w:iCs/>
          <w:lang w:eastAsia="en-US"/>
        </w:rPr>
        <w:t>Сергеев</w:t>
      </w:r>
      <w:r w:rsidR="002645C4" w:rsidRPr="00F66379">
        <w:rPr>
          <w:b/>
          <w:bCs/>
          <w:i/>
          <w:iCs/>
          <w:lang w:eastAsia="en-US"/>
        </w:rPr>
        <w:t xml:space="preserve"> Е.П.</w:t>
      </w:r>
      <w:r w:rsidR="00CB1663" w:rsidRPr="00F66379">
        <w:rPr>
          <w:b/>
          <w:bCs/>
          <w:i/>
          <w:iCs/>
          <w:vertAlign w:val="superscript"/>
          <w:lang w:eastAsia="en-US"/>
        </w:rPr>
        <w:t>1</w:t>
      </w:r>
      <w:r w:rsidR="002645C4" w:rsidRPr="00F66379">
        <w:rPr>
          <w:b/>
          <w:bCs/>
          <w:i/>
          <w:iCs/>
          <w:vertAlign w:val="superscript"/>
          <w:lang w:eastAsia="en-US"/>
        </w:rPr>
        <w:t>,</w:t>
      </w:r>
      <w:r w:rsidR="00117AFD" w:rsidRPr="00F66379">
        <w:rPr>
          <w:b/>
          <w:bCs/>
          <w:i/>
          <w:iCs/>
          <w:vertAlign w:val="superscript"/>
          <w:lang w:eastAsia="en-US"/>
        </w:rPr>
        <w:t>3</w:t>
      </w:r>
      <w:r w:rsidR="00CB1663" w:rsidRPr="00F66379">
        <w:rPr>
          <w:b/>
          <w:bCs/>
          <w:i/>
          <w:iCs/>
          <w:lang w:eastAsia="en-US"/>
        </w:rPr>
        <w:t>, Атрошенко</w:t>
      </w:r>
      <w:r w:rsidR="002645C4" w:rsidRPr="00F66379">
        <w:rPr>
          <w:b/>
          <w:bCs/>
          <w:i/>
          <w:iCs/>
          <w:lang w:eastAsia="en-US"/>
        </w:rPr>
        <w:t xml:space="preserve"> Д.Л.</w:t>
      </w:r>
      <w:r w:rsidR="00CB1663" w:rsidRPr="00F66379">
        <w:rPr>
          <w:b/>
          <w:bCs/>
          <w:i/>
          <w:iCs/>
          <w:vertAlign w:val="superscript"/>
          <w:lang w:eastAsia="en-US"/>
        </w:rPr>
        <w:t>1</w:t>
      </w:r>
      <w:r w:rsidR="00117AFD" w:rsidRPr="00F66379">
        <w:rPr>
          <w:b/>
          <w:bCs/>
          <w:i/>
          <w:iCs/>
          <w:vertAlign w:val="superscript"/>
          <w:lang w:eastAsia="en-US"/>
        </w:rPr>
        <w:t>,3</w:t>
      </w:r>
    </w:p>
    <w:p w14:paraId="00000003" w14:textId="45B0BD2A" w:rsidR="00130241" w:rsidRDefault="00DF0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Бакалавр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4</w:t>
      </w:r>
      <w:r w:rsidR="00CB1663">
        <w:rPr>
          <w:i/>
          <w:color w:val="000000"/>
        </w:rPr>
        <w:t>-го года обучения</w:t>
      </w:r>
    </w:p>
    <w:p w14:paraId="601A085D" w14:textId="77777777" w:rsidR="00117AF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5" w14:textId="6BDDE7C1" w:rsidR="00130241" w:rsidRPr="00117AFD" w:rsidRDefault="00117AFD" w:rsidP="00117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РХТУ им. </w:t>
      </w:r>
      <w:proofErr w:type="spellStart"/>
      <w:r>
        <w:rPr>
          <w:i/>
          <w:color w:val="000000"/>
        </w:rPr>
        <w:t>Д</w:t>
      </w:r>
      <w:r w:rsidRPr="002645C4">
        <w:rPr>
          <w:i/>
          <w:color w:val="000000"/>
        </w:rPr>
        <w:t>.</w:t>
      </w:r>
      <w:r>
        <w:rPr>
          <w:i/>
          <w:color w:val="000000"/>
        </w:rPr>
        <w:t>И</w:t>
      </w:r>
      <w:r w:rsidRPr="002645C4">
        <w:rPr>
          <w:i/>
          <w:color w:val="000000"/>
        </w:rPr>
        <w:t>.</w:t>
      </w:r>
      <w:r>
        <w:rPr>
          <w:i/>
          <w:color w:val="000000"/>
        </w:rPr>
        <w:t>Менделеева</w:t>
      </w:r>
      <w:proofErr w:type="spellEnd"/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2C1EF4F3" w:rsidR="00130241" w:rsidRDefault="00117AFD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iCs/>
          <w:vertAlign w:val="superscript"/>
          <w:lang w:eastAsia="en-US"/>
        </w:rPr>
        <w:t>3</w:t>
      </w:r>
      <w:r w:rsidR="00CB1663" w:rsidRPr="00E10CDF">
        <w:rPr>
          <w:i/>
          <w:iCs/>
          <w:lang w:eastAsia="en-US"/>
        </w:rPr>
        <w:t>ФИЦ Биотехнологии РАН,</w:t>
      </w:r>
      <w:r w:rsidR="002B1CD0" w:rsidRPr="002B1CD0">
        <w:rPr>
          <w:i/>
          <w:color w:val="000000"/>
        </w:rPr>
        <w:t xml:space="preserve"> </w:t>
      </w:r>
      <w:r w:rsidR="00CB1663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68920800" w14:textId="238EB0F8" w:rsidR="007249F2" w:rsidRPr="002F3AA5" w:rsidRDefault="00EB1F49" w:rsidP="009E18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CB1663">
        <w:rPr>
          <w:i/>
          <w:color w:val="000000"/>
          <w:lang w:val="en-US"/>
        </w:rPr>
        <w:t>E</w:t>
      </w:r>
      <w:r w:rsidR="003B76D6" w:rsidRPr="002F3AA5">
        <w:rPr>
          <w:i/>
          <w:color w:val="000000"/>
          <w:lang w:val="en-US"/>
        </w:rPr>
        <w:t>-</w:t>
      </w:r>
      <w:r w:rsidRPr="00CB1663">
        <w:rPr>
          <w:i/>
          <w:color w:val="000000"/>
          <w:lang w:val="en-US"/>
        </w:rPr>
        <w:t>mail</w:t>
      </w:r>
      <w:r w:rsidR="00CB1663" w:rsidRPr="002F3AA5">
        <w:rPr>
          <w:iCs/>
          <w:color w:val="000000" w:themeColor="text1"/>
          <w:lang w:val="en-US"/>
        </w:rPr>
        <w:t xml:space="preserve">: </w:t>
      </w:r>
      <w:hyperlink r:id="rId6" w:history="1">
        <w:r w:rsidR="007249F2" w:rsidRPr="008C4745">
          <w:rPr>
            <w:rStyle w:val="a9"/>
            <w:i/>
            <w:shd w:val="clear" w:color="auto" w:fill="FFFFFF"/>
            <w:lang w:val="en-US"/>
          </w:rPr>
          <w:t>Khasanova</w:t>
        </w:r>
        <w:r w:rsidR="007249F2" w:rsidRPr="002F3AA5">
          <w:rPr>
            <w:rStyle w:val="a9"/>
            <w:i/>
            <w:shd w:val="clear" w:color="auto" w:fill="FFFFFF"/>
            <w:lang w:val="en-US"/>
          </w:rPr>
          <w:t>.</w:t>
        </w:r>
        <w:r w:rsidR="007249F2" w:rsidRPr="008C4745">
          <w:rPr>
            <w:rStyle w:val="a9"/>
            <w:i/>
            <w:shd w:val="clear" w:color="auto" w:fill="FFFFFF"/>
            <w:lang w:val="en-US"/>
          </w:rPr>
          <w:t>miliya</w:t>
        </w:r>
        <w:r w:rsidR="007249F2" w:rsidRPr="002F3AA5">
          <w:rPr>
            <w:rStyle w:val="a9"/>
            <w:i/>
            <w:shd w:val="clear" w:color="auto" w:fill="FFFFFF"/>
            <w:lang w:val="en-US"/>
          </w:rPr>
          <w:t>@</w:t>
        </w:r>
        <w:r w:rsidR="007249F2" w:rsidRPr="008C4745">
          <w:rPr>
            <w:rStyle w:val="a9"/>
            <w:i/>
            <w:shd w:val="clear" w:color="auto" w:fill="FFFFFF"/>
            <w:lang w:val="en-US"/>
          </w:rPr>
          <w:t>yandex</w:t>
        </w:r>
        <w:r w:rsidR="007249F2" w:rsidRPr="002F3AA5">
          <w:rPr>
            <w:rStyle w:val="a9"/>
            <w:i/>
            <w:shd w:val="clear" w:color="auto" w:fill="FFFFFF"/>
            <w:lang w:val="en-US"/>
          </w:rPr>
          <w:t>.</w:t>
        </w:r>
        <w:r w:rsidR="007249F2" w:rsidRPr="008C4745">
          <w:rPr>
            <w:rStyle w:val="a9"/>
            <w:i/>
            <w:shd w:val="clear" w:color="auto" w:fill="FFFFFF"/>
            <w:lang w:val="en-US"/>
          </w:rPr>
          <w:t>ru</w:t>
        </w:r>
      </w:hyperlink>
    </w:p>
    <w:p w14:paraId="3BED8E77" w14:textId="525E193D" w:rsidR="00117AFD" w:rsidRDefault="00117AFD" w:rsidP="00776E81">
      <w:pPr>
        <w:ind w:firstLine="397"/>
        <w:jc w:val="both"/>
        <w:rPr>
          <w:szCs w:val="20"/>
        </w:rPr>
      </w:pPr>
      <w:proofErr w:type="spellStart"/>
      <w:r w:rsidRPr="00DF0891">
        <w:rPr>
          <w:szCs w:val="20"/>
        </w:rPr>
        <w:t>Полиамины</w:t>
      </w:r>
      <w:proofErr w:type="spellEnd"/>
      <w:r w:rsidRPr="00DF0891">
        <w:rPr>
          <w:szCs w:val="20"/>
        </w:rPr>
        <w:t xml:space="preserve"> представляют собой низкомолекулярные органические </w:t>
      </w:r>
      <w:r w:rsidR="009E18E0">
        <w:rPr>
          <w:szCs w:val="20"/>
        </w:rPr>
        <w:t>молекулы</w:t>
      </w:r>
      <w:r w:rsidRPr="00DF0891">
        <w:rPr>
          <w:szCs w:val="20"/>
        </w:rPr>
        <w:t>, которые содержат две или более аминогруппы. Они играют важную роль в процессах клеточного роста, деления и выживания</w:t>
      </w:r>
      <w:r>
        <w:rPr>
          <w:szCs w:val="20"/>
        </w:rPr>
        <w:t xml:space="preserve">. </w:t>
      </w:r>
      <w:r w:rsidRPr="00DF0891">
        <w:rPr>
          <w:szCs w:val="20"/>
        </w:rPr>
        <w:t xml:space="preserve">В нормальных клетках уровень </w:t>
      </w:r>
      <w:proofErr w:type="spellStart"/>
      <w:r w:rsidRPr="00DF0891">
        <w:rPr>
          <w:szCs w:val="20"/>
        </w:rPr>
        <w:t>полиаминов</w:t>
      </w:r>
      <w:proofErr w:type="spellEnd"/>
      <w:r w:rsidRPr="00DF0891">
        <w:rPr>
          <w:szCs w:val="20"/>
        </w:rPr>
        <w:t xml:space="preserve"> </w:t>
      </w:r>
      <w:r w:rsidR="009E18E0">
        <w:rPr>
          <w:szCs w:val="20"/>
        </w:rPr>
        <w:t>поддерживается</w:t>
      </w:r>
      <w:r w:rsidR="009E18E0" w:rsidRPr="00DF0891">
        <w:rPr>
          <w:szCs w:val="20"/>
        </w:rPr>
        <w:t xml:space="preserve"> </w:t>
      </w:r>
      <w:r w:rsidRPr="00DF0891">
        <w:rPr>
          <w:szCs w:val="20"/>
        </w:rPr>
        <w:t xml:space="preserve">стабильным, но при возникновении злокачественных </w:t>
      </w:r>
      <w:r>
        <w:rPr>
          <w:szCs w:val="20"/>
        </w:rPr>
        <w:t xml:space="preserve">образований </w:t>
      </w:r>
      <w:r w:rsidRPr="00DF0891">
        <w:rPr>
          <w:szCs w:val="20"/>
        </w:rPr>
        <w:t xml:space="preserve">баланс нарушается. В результате </w:t>
      </w:r>
      <w:proofErr w:type="spellStart"/>
      <w:r w:rsidRPr="00DF0891">
        <w:rPr>
          <w:szCs w:val="20"/>
        </w:rPr>
        <w:t>полиамины</w:t>
      </w:r>
      <w:proofErr w:type="spellEnd"/>
      <w:r w:rsidRPr="00DF0891">
        <w:rPr>
          <w:szCs w:val="20"/>
        </w:rPr>
        <w:t xml:space="preserve"> начинают </w:t>
      </w:r>
      <w:r>
        <w:rPr>
          <w:szCs w:val="20"/>
        </w:rPr>
        <w:t xml:space="preserve">накапливаться </w:t>
      </w:r>
      <w:r w:rsidRPr="00DF0891">
        <w:rPr>
          <w:szCs w:val="20"/>
        </w:rPr>
        <w:t>в быстро пролиферирующих</w:t>
      </w:r>
      <w:r w:rsidR="007249F2">
        <w:rPr>
          <w:szCs w:val="20"/>
        </w:rPr>
        <w:t xml:space="preserve"> тканях</w:t>
      </w:r>
      <w:r w:rsidRPr="00DF0891">
        <w:rPr>
          <w:szCs w:val="20"/>
        </w:rPr>
        <w:t xml:space="preserve">. Исследования показали, что увеличение уровня </w:t>
      </w:r>
      <w:proofErr w:type="spellStart"/>
      <w:r w:rsidRPr="00DF0891">
        <w:rPr>
          <w:szCs w:val="20"/>
        </w:rPr>
        <w:t>полиаминов</w:t>
      </w:r>
      <w:proofErr w:type="spellEnd"/>
      <w:r w:rsidRPr="00DF0891">
        <w:rPr>
          <w:szCs w:val="20"/>
        </w:rPr>
        <w:t xml:space="preserve"> связано с различными видами рака, такими как рак молочной железы, колоректальный рак, рак легких</w:t>
      </w:r>
      <w:r w:rsidR="007249F2">
        <w:rPr>
          <w:szCs w:val="20"/>
        </w:rPr>
        <w:t>, рак поджелудочной</w:t>
      </w:r>
      <w:r w:rsidRPr="00DF0891">
        <w:rPr>
          <w:szCs w:val="20"/>
        </w:rPr>
        <w:t xml:space="preserve"> и другие. Эт</w:t>
      </w:r>
      <w:r w:rsidR="007249F2">
        <w:rPr>
          <w:szCs w:val="20"/>
        </w:rPr>
        <w:t xml:space="preserve">а взаимосвязь </w:t>
      </w:r>
      <w:r w:rsidRPr="00DF0891">
        <w:rPr>
          <w:szCs w:val="20"/>
        </w:rPr>
        <w:t xml:space="preserve">делает </w:t>
      </w:r>
      <w:proofErr w:type="spellStart"/>
      <w:r w:rsidRPr="00DF0891">
        <w:rPr>
          <w:szCs w:val="20"/>
        </w:rPr>
        <w:t>полиамины</w:t>
      </w:r>
      <w:proofErr w:type="spellEnd"/>
      <w:r w:rsidRPr="00DF0891">
        <w:rPr>
          <w:szCs w:val="20"/>
        </w:rPr>
        <w:t xml:space="preserve"> полезными биомаркерами, которые можно использовать для ранней диагностики рака и оценки успеха лечения.</w:t>
      </w:r>
    </w:p>
    <w:p w14:paraId="46882E40" w14:textId="3455F528" w:rsidR="00EC105A" w:rsidRDefault="00117AFD" w:rsidP="00776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0"/>
        </w:rPr>
      </w:pPr>
      <w:r w:rsidRPr="00F311D9">
        <w:t xml:space="preserve">Определение </w:t>
      </w:r>
      <w:proofErr w:type="spellStart"/>
      <w:r w:rsidRPr="00F311D9">
        <w:t>полиаминов</w:t>
      </w:r>
      <w:proofErr w:type="spellEnd"/>
      <w:r w:rsidRPr="00F311D9">
        <w:t xml:space="preserve"> в биологических образцах связано с определенными трудностями. Основная проблема заключается в их высокой полярности и отсутствия </w:t>
      </w:r>
      <w:r w:rsidR="007249F2" w:rsidRPr="007249F2">
        <w:t xml:space="preserve">хромофоров или </w:t>
      </w:r>
      <w:proofErr w:type="spellStart"/>
      <w:r w:rsidR="007249F2" w:rsidRPr="007249F2">
        <w:t>флуорофоров</w:t>
      </w:r>
      <w:proofErr w:type="spellEnd"/>
      <w:r w:rsidR="007249F2">
        <w:t xml:space="preserve"> </w:t>
      </w:r>
      <w:r w:rsidR="007249F2" w:rsidRPr="007249F2">
        <w:t>в</w:t>
      </w:r>
      <w:r w:rsidR="007249F2">
        <w:rPr>
          <w:rStyle w:val="ng-star-inserted"/>
          <w:rFonts w:ascii="Google Sans Text" w:hAnsi="Google Sans Text"/>
          <w:color w:val="303030"/>
        </w:rPr>
        <w:t xml:space="preserve"> </w:t>
      </w:r>
      <w:r w:rsidR="007249F2" w:rsidRPr="002D5711">
        <w:rPr>
          <w:rStyle w:val="ng-star-inserted"/>
          <w:rFonts w:hint="eastAsia"/>
        </w:rPr>
        <w:t>структуре</w:t>
      </w:r>
      <w:r w:rsidR="007249F2" w:rsidRPr="002D5711">
        <w:rPr>
          <w:rStyle w:val="ng-star-inserted"/>
        </w:rPr>
        <w:t xml:space="preserve"> </w:t>
      </w:r>
      <w:r w:rsidR="007249F2" w:rsidRPr="002D5711">
        <w:rPr>
          <w:rStyle w:val="ng-star-inserted"/>
          <w:rFonts w:hint="eastAsia"/>
        </w:rPr>
        <w:t>молекул</w:t>
      </w:r>
      <w:r w:rsidRPr="00F311D9">
        <w:t xml:space="preserve">, которые могли бы облегчить их обнаружение. Современные методы, такие как высокоэффективная жидкостная хроматография (ВЭЖХ) </w:t>
      </w:r>
      <w:r w:rsidR="009E18E0">
        <w:t>с</w:t>
      </w:r>
      <w:r w:rsidRPr="00F311D9">
        <w:t xml:space="preserve"> масс-спектрометри</w:t>
      </w:r>
      <w:r w:rsidR="009E18E0">
        <w:t>ей</w:t>
      </w:r>
      <w:r w:rsidRPr="00F311D9">
        <w:t>, очень точные, но требуют сложных и длительных подготовительных процессов. Кроме того, для их использования необходимо дорогое оборудование и специальные навыки.</w:t>
      </w:r>
      <w:r>
        <w:t xml:space="preserve"> Ф</w:t>
      </w:r>
      <w:r w:rsidRPr="00F311D9">
        <w:t>ерментативные методы могут стать хорошей альтернативой. Они отличаются высокой специфичностью</w:t>
      </w:r>
      <w:r w:rsidR="009E18E0">
        <w:t>, простотой</w:t>
      </w:r>
      <w:r w:rsidR="0086044E">
        <w:t xml:space="preserve"> и </w:t>
      </w:r>
      <w:proofErr w:type="spellStart"/>
      <w:r w:rsidR="009E18E0">
        <w:t>экспрессностью</w:t>
      </w:r>
      <w:proofErr w:type="spellEnd"/>
      <w:r w:rsidR="0086044E">
        <w:t xml:space="preserve">, что </w:t>
      </w:r>
      <w:r w:rsidR="0086044E" w:rsidRPr="0086044E">
        <w:t xml:space="preserve">позволит раскрыть потенциал </w:t>
      </w:r>
      <w:proofErr w:type="spellStart"/>
      <w:r w:rsidR="0086044E" w:rsidRPr="0086044E">
        <w:t>полиаминов</w:t>
      </w:r>
      <w:proofErr w:type="spellEnd"/>
      <w:r w:rsidR="0086044E" w:rsidRPr="0086044E">
        <w:t xml:space="preserve"> как биомаркеров в медицине</w:t>
      </w:r>
      <w:r w:rsidRPr="00F311D9">
        <w:t>. Главны</w:t>
      </w:r>
      <w:r w:rsidR="009E18E0">
        <w:t>м</w:t>
      </w:r>
      <w:r w:rsidRPr="00F311D9">
        <w:t xml:space="preserve"> компонент</w:t>
      </w:r>
      <w:r w:rsidR="009E18E0">
        <w:t>ом</w:t>
      </w:r>
      <w:r w:rsidRPr="00F311D9">
        <w:t xml:space="preserve"> в этих методах </w:t>
      </w:r>
      <w:r w:rsidR="009E18E0">
        <w:t xml:space="preserve">станут </w:t>
      </w:r>
      <w:proofErr w:type="spellStart"/>
      <w:r w:rsidRPr="00F311D9">
        <w:t>полиаминоксидаз</w:t>
      </w:r>
      <w:r>
        <w:t>ы</w:t>
      </w:r>
      <w:proofErr w:type="spellEnd"/>
      <w:r>
        <w:t xml:space="preserve"> – ферменты, </w:t>
      </w:r>
      <w:r w:rsidRPr="00117AFD">
        <w:t xml:space="preserve">которые катализируют окисление </w:t>
      </w:r>
      <w:proofErr w:type="spellStart"/>
      <w:r w:rsidRPr="00117AFD">
        <w:t>полиаминов</w:t>
      </w:r>
      <w:proofErr w:type="spellEnd"/>
      <w:r w:rsidRPr="00117AFD">
        <w:t xml:space="preserve"> кислородом с выделением пероксида водорода.</w:t>
      </w:r>
      <w:r w:rsidRPr="00F311D9">
        <w:t xml:space="preserve"> </w:t>
      </w:r>
      <w:r w:rsidRPr="00117AFD">
        <w:t xml:space="preserve">Это свойство позволяет эффективно использовать их в электрохимических сенсорах, а также разрабатывать фотометрические </w:t>
      </w:r>
      <w:r w:rsidR="009E18E0">
        <w:t xml:space="preserve">и </w:t>
      </w:r>
      <w:proofErr w:type="spellStart"/>
      <w:r w:rsidR="009E18E0">
        <w:t>флуориметрические</w:t>
      </w:r>
      <w:proofErr w:type="spellEnd"/>
      <w:r w:rsidR="009E18E0">
        <w:t xml:space="preserve"> </w:t>
      </w:r>
      <w:r w:rsidRPr="00117AFD">
        <w:t xml:space="preserve">методики для определения концентрации </w:t>
      </w:r>
      <w:proofErr w:type="spellStart"/>
      <w:r w:rsidRPr="00117AFD">
        <w:t>полиаминов</w:t>
      </w:r>
      <w:proofErr w:type="spellEnd"/>
      <w:r w:rsidRPr="00117AFD">
        <w:t>.</w:t>
      </w:r>
      <w:r w:rsidRPr="00F311D9">
        <w:t xml:space="preserve"> Одним из преимуществ </w:t>
      </w:r>
      <w:r w:rsidR="002D5711">
        <w:t>данного</w:t>
      </w:r>
      <w:r w:rsidR="002D5711" w:rsidRPr="00F311D9">
        <w:t xml:space="preserve"> </w:t>
      </w:r>
      <w:r w:rsidRPr="00F311D9">
        <w:t xml:space="preserve">подхода является возможность обнаруживать </w:t>
      </w:r>
      <w:proofErr w:type="spellStart"/>
      <w:r w:rsidRPr="00F311D9">
        <w:t>диацетилированные</w:t>
      </w:r>
      <w:proofErr w:type="spellEnd"/>
      <w:r w:rsidRPr="00F311D9">
        <w:t xml:space="preserve"> производные </w:t>
      </w:r>
      <w:proofErr w:type="spellStart"/>
      <w:r w:rsidRPr="00F311D9">
        <w:t>полиаминов</w:t>
      </w:r>
      <w:proofErr w:type="spellEnd"/>
      <w:r w:rsidRPr="00F311D9">
        <w:t xml:space="preserve">, </w:t>
      </w:r>
      <w:r w:rsidR="009E18E0">
        <w:t>концентрация которых наиболее явно изменяется при определенных видах рака</w:t>
      </w:r>
      <w:r w:rsidRPr="00F311D9">
        <w:t xml:space="preserve">. Это </w:t>
      </w:r>
      <w:r w:rsidRPr="00EC105A">
        <w:rPr>
          <w:szCs w:val="20"/>
        </w:rPr>
        <w:t>расширяет возможности неинвазивной диагностики, например, по слюне</w:t>
      </w:r>
      <w:r w:rsidR="009E18E0">
        <w:rPr>
          <w:szCs w:val="20"/>
        </w:rPr>
        <w:t xml:space="preserve"> и моче</w:t>
      </w:r>
      <w:r w:rsidRPr="00EC105A">
        <w:rPr>
          <w:szCs w:val="20"/>
        </w:rPr>
        <w:t>.</w:t>
      </w:r>
    </w:p>
    <w:p w14:paraId="02599AFC" w14:textId="6F6D6025" w:rsidR="005E3D93" w:rsidRPr="007C5E56" w:rsidRDefault="00117AFD" w:rsidP="00776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105A">
        <w:rPr>
          <w:szCs w:val="20"/>
        </w:rPr>
        <w:t xml:space="preserve">В рамках экспериментальной части работы была проведена оптимизация условий проведения ферментативной реакции. Важным шагом </w:t>
      </w:r>
      <w:r w:rsidR="00EC105A">
        <w:rPr>
          <w:szCs w:val="20"/>
        </w:rPr>
        <w:t xml:space="preserve">стал подбор </w:t>
      </w:r>
      <w:r w:rsidRPr="00EC105A">
        <w:rPr>
          <w:szCs w:val="20"/>
        </w:rPr>
        <w:t>подходящ</w:t>
      </w:r>
      <w:r w:rsidR="00EC105A">
        <w:rPr>
          <w:szCs w:val="20"/>
        </w:rPr>
        <w:t>его</w:t>
      </w:r>
      <w:r w:rsidRPr="00EC105A">
        <w:rPr>
          <w:szCs w:val="20"/>
        </w:rPr>
        <w:t xml:space="preserve"> буфер</w:t>
      </w:r>
      <w:r w:rsidR="00EC105A">
        <w:rPr>
          <w:szCs w:val="20"/>
        </w:rPr>
        <w:t>а</w:t>
      </w:r>
      <w:r w:rsidR="005E3D93" w:rsidRPr="00EC105A">
        <w:rPr>
          <w:szCs w:val="20"/>
        </w:rPr>
        <w:t>,</w:t>
      </w:r>
      <w:r w:rsidRPr="00EC105A">
        <w:rPr>
          <w:szCs w:val="20"/>
        </w:rPr>
        <w:t xml:space="preserve"> чтобы создать оптимальные </w:t>
      </w:r>
      <w:r w:rsidR="009E18E0">
        <w:rPr>
          <w:szCs w:val="20"/>
        </w:rPr>
        <w:t>условия для минимизации фонового сигнала</w:t>
      </w:r>
      <w:r w:rsidRPr="00EC105A">
        <w:rPr>
          <w:szCs w:val="20"/>
        </w:rPr>
        <w:t>.</w:t>
      </w:r>
      <w:r w:rsidR="005E3D93" w:rsidRPr="00EC105A">
        <w:rPr>
          <w:szCs w:val="20"/>
        </w:rPr>
        <w:t xml:space="preserve"> Также были протестированы различные методы остановки реакции, чтобы найти наиболее эффективный способ, который не влияет на дальнейшее считывание сигнала. Учитывая химическую природу </w:t>
      </w:r>
      <w:r w:rsidR="009E18E0">
        <w:rPr>
          <w:szCs w:val="20"/>
        </w:rPr>
        <w:t>ферментов</w:t>
      </w:r>
      <w:r w:rsidR="009E18E0" w:rsidRPr="00EC105A">
        <w:rPr>
          <w:szCs w:val="20"/>
        </w:rPr>
        <w:t xml:space="preserve"> </w:t>
      </w:r>
      <w:r w:rsidR="005E3D93" w:rsidRPr="00EC105A">
        <w:rPr>
          <w:szCs w:val="20"/>
        </w:rPr>
        <w:t xml:space="preserve">и их высокую склонность к неспецифической адсорбции на поверхностях, в работе был проверен различный лабораторный пластик. Одной из основных проблем стало определение подходящих измерительных планшетов: выяснилось, что в некоторых типах пластика возникают перекисные соединения, которые создают фоновый </w:t>
      </w:r>
      <w:r w:rsidR="009E18E0">
        <w:rPr>
          <w:szCs w:val="20"/>
        </w:rPr>
        <w:t>сигнал</w:t>
      </w:r>
      <w:r w:rsidR="009E18E0" w:rsidRPr="00EC105A">
        <w:rPr>
          <w:szCs w:val="20"/>
        </w:rPr>
        <w:t xml:space="preserve"> </w:t>
      </w:r>
      <w:r w:rsidR="005E3D93" w:rsidRPr="00EC105A">
        <w:rPr>
          <w:szCs w:val="20"/>
        </w:rPr>
        <w:t xml:space="preserve">и мешают </w:t>
      </w:r>
      <w:r w:rsidR="009E18E0">
        <w:rPr>
          <w:szCs w:val="20"/>
        </w:rPr>
        <w:t>определению</w:t>
      </w:r>
      <w:r w:rsidR="009E18E0" w:rsidRPr="00EC105A">
        <w:rPr>
          <w:szCs w:val="20"/>
        </w:rPr>
        <w:t xml:space="preserve"> </w:t>
      </w:r>
      <w:r w:rsidR="005E3D93" w:rsidRPr="00EC105A">
        <w:rPr>
          <w:szCs w:val="20"/>
        </w:rPr>
        <w:t>целев</w:t>
      </w:r>
      <w:r w:rsidR="009E18E0">
        <w:rPr>
          <w:szCs w:val="20"/>
        </w:rPr>
        <w:t>ых молекул</w:t>
      </w:r>
      <w:r w:rsidR="00EC105A" w:rsidRPr="00EC105A">
        <w:rPr>
          <w:szCs w:val="20"/>
        </w:rPr>
        <w:t xml:space="preserve">. </w:t>
      </w:r>
      <w:r w:rsidR="009E18E0">
        <w:rPr>
          <w:szCs w:val="20"/>
        </w:rPr>
        <w:t>Также был проанализирован вклад возможной</w:t>
      </w:r>
      <w:r w:rsidR="00EC105A">
        <w:rPr>
          <w:szCs w:val="20"/>
        </w:rPr>
        <w:t xml:space="preserve"> пробоподготовк</w:t>
      </w:r>
      <w:r w:rsidR="009E18E0">
        <w:rPr>
          <w:szCs w:val="20"/>
        </w:rPr>
        <w:t>и</w:t>
      </w:r>
      <w:r w:rsidR="00EC105A">
        <w:rPr>
          <w:szCs w:val="20"/>
        </w:rPr>
        <w:t>, которая влияет на эффективность и надёжность результатов.</w:t>
      </w:r>
      <w:r w:rsidR="002D5711">
        <w:rPr>
          <w:szCs w:val="20"/>
        </w:rPr>
        <w:t xml:space="preserve"> Для этого сравнили между собой разные методы </w:t>
      </w:r>
      <w:proofErr w:type="spellStart"/>
      <w:r w:rsidR="002D5711">
        <w:rPr>
          <w:szCs w:val="20"/>
        </w:rPr>
        <w:t>депротеинизации</w:t>
      </w:r>
      <w:proofErr w:type="spellEnd"/>
      <w:r w:rsidR="002D5711">
        <w:rPr>
          <w:szCs w:val="20"/>
        </w:rPr>
        <w:t xml:space="preserve"> (трихлоруксусная кислота с последующей ее экстракцией этилацетатом, обработка ацетонитрилом с последующем упариванием) на модельных растворах и слюне.</w:t>
      </w:r>
      <w:r w:rsidR="002D5711" w:rsidRPr="00F66379">
        <w:rPr>
          <w:szCs w:val="20"/>
        </w:rPr>
        <w:t xml:space="preserve"> </w:t>
      </w:r>
      <w:r w:rsidR="002D5711">
        <w:rPr>
          <w:szCs w:val="20"/>
        </w:rPr>
        <w:t xml:space="preserve">Для оценки </w:t>
      </w:r>
      <w:r w:rsidR="00BE6B38">
        <w:rPr>
          <w:szCs w:val="20"/>
        </w:rPr>
        <w:t xml:space="preserve">влияния матрицы и методов обработки сравнивали тангенсы углов наклона зависимостей флуоресценции от концентрации добавленных </w:t>
      </w:r>
      <w:proofErr w:type="spellStart"/>
      <w:r w:rsidR="00BE6B38">
        <w:rPr>
          <w:szCs w:val="20"/>
        </w:rPr>
        <w:t>полиаминов</w:t>
      </w:r>
      <w:proofErr w:type="spellEnd"/>
      <w:r w:rsidR="00BE6B38">
        <w:rPr>
          <w:szCs w:val="20"/>
        </w:rPr>
        <w:t xml:space="preserve"> между собой и с зависимостью для буферной системы, выбранной для анализа.</w:t>
      </w:r>
    </w:p>
    <w:sectPr w:rsidR="005E3D93" w:rsidRPr="007C5E5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76772">
    <w:abstractNumId w:val="2"/>
  </w:num>
  <w:num w:numId="2" w16cid:durableId="1418408471">
    <w:abstractNumId w:val="3"/>
  </w:num>
  <w:num w:numId="3" w16cid:durableId="1663046949">
    <w:abstractNumId w:val="1"/>
  </w:num>
  <w:num w:numId="4" w16cid:durableId="77039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17AFD"/>
    <w:rsid w:val="00130241"/>
    <w:rsid w:val="001E61C2"/>
    <w:rsid w:val="001F0493"/>
    <w:rsid w:val="0022260A"/>
    <w:rsid w:val="002264EE"/>
    <w:rsid w:val="0023307C"/>
    <w:rsid w:val="002645C4"/>
    <w:rsid w:val="00295304"/>
    <w:rsid w:val="002B1CD0"/>
    <w:rsid w:val="002D5711"/>
    <w:rsid w:val="002F3AA5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3D93"/>
    <w:rsid w:val="005E5BE9"/>
    <w:rsid w:val="00665279"/>
    <w:rsid w:val="0069427D"/>
    <w:rsid w:val="006F7A19"/>
    <w:rsid w:val="00705378"/>
    <w:rsid w:val="007213E1"/>
    <w:rsid w:val="007249F2"/>
    <w:rsid w:val="007701E2"/>
    <w:rsid w:val="00775389"/>
    <w:rsid w:val="00776E81"/>
    <w:rsid w:val="00797838"/>
    <w:rsid w:val="007C36D8"/>
    <w:rsid w:val="007C5E56"/>
    <w:rsid w:val="007F2744"/>
    <w:rsid w:val="0086044E"/>
    <w:rsid w:val="00877685"/>
    <w:rsid w:val="008931BE"/>
    <w:rsid w:val="008C67E3"/>
    <w:rsid w:val="00914205"/>
    <w:rsid w:val="00921D45"/>
    <w:rsid w:val="009426C0"/>
    <w:rsid w:val="00950ACC"/>
    <w:rsid w:val="00980A65"/>
    <w:rsid w:val="009A66DB"/>
    <w:rsid w:val="009B2F80"/>
    <w:rsid w:val="009B3300"/>
    <w:rsid w:val="009E18E0"/>
    <w:rsid w:val="009F3380"/>
    <w:rsid w:val="00A02163"/>
    <w:rsid w:val="00A314FE"/>
    <w:rsid w:val="00AA1D62"/>
    <w:rsid w:val="00AD7380"/>
    <w:rsid w:val="00B97E84"/>
    <w:rsid w:val="00BE6B38"/>
    <w:rsid w:val="00BF36F8"/>
    <w:rsid w:val="00BF4622"/>
    <w:rsid w:val="00C36346"/>
    <w:rsid w:val="00C844E2"/>
    <w:rsid w:val="00CB1663"/>
    <w:rsid w:val="00CD00B1"/>
    <w:rsid w:val="00D22306"/>
    <w:rsid w:val="00D37D84"/>
    <w:rsid w:val="00D42542"/>
    <w:rsid w:val="00D8121C"/>
    <w:rsid w:val="00DD47C4"/>
    <w:rsid w:val="00DF0891"/>
    <w:rsid w:val="00E22189"/>
    <w:rsid w:val="00E74069"/>
    <w:rsid w:val="00E81D35"/>
    <w:rsid w:val="00EB1F49"/>
    <w:rsid w:val="00EC105A"/>
    <w:rsid w:val="00ED53C3"/>
    <w:rsid w:val="00F311D9"/>
    <w:rsid w:val="00F55054"/>
    <w:rsid w:val="00F66379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CB1663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CB1663"/>
    <w:rPr>
      <w:rFonts w:cs="Times New Roman"/>
      <w:i/>
      <w:iCs/>
    </w:rPr>
  </w:style>
  <w:style w:type="character" w:styleId="ae">
    <w:name w:val="Strong"/>
    <w:basedOn w:val="a0"/>
    <w:uiPriority w:val="22"/>
    <w:qFormat/>
    <w:rsid w:val="00DF0891"/>
    <w:rPr>
      <w:b/>
      <w:bCs/>
    </w:rPr>
  </w:style>
  <w:style w:type="character" w:customStyle="1" w:styleId="ng-star-inserted">
    <w:name w:val="ng-star-inserted"/>
    <w:basedOn w:val="a0"/>
    <w:rsid w:val="0072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asanova.miliy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Милия Хасанова</cp:lastModifiedBy>
  <cp:revision>8</cp:revision>
  <cp:lastPrinted>2026-01-28T14:24:00Z</cp:lastPrinted>
  <dcterms:created xsi:type="dcterms:W3CDTF">2026-03-16T18:55:00Z</dcterms:created>
  <dcterms:modified xsi:type="dcterms:W3CDTF">2026-03-18T06:33:00Z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