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</w:rPr>
        <w:t>Изучение химии экстракции редкоземельных элементов</w:t>
      </w:r>
      <w:r>
        <w:rPr>
          <w:b/>
          <w:bCs/>
        </w:rPr>
        <w:t xml:space="preserve"> моно-2-этилгексиловым эфиром 2-этилгексилфосфоновой кислоты</w:t>
      </w:r>
    </w:p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i/>
          <w:iCs/>
        </w:rPr>
        <w:t>Аристова Т.И.</w:t>
      </w:r>
      <w:r>
        <w:rPr>
          <w:b/>
          <w:bCs/>
          <w:i/>
          <w:iCs/>
          <w:vertAlign w:val="superscript"/>
        </w:rPr>
        <w:t>1,2</w:t>
      </w:r>
      <w:r>
        <w:rPr>
          <w:b/>
          <w:bCs/>
          <w:i/>
          <w:iCs/>
        </w:rPr>
        <w:t>, Королева Е.О.</w:t>
      </w:r>
      <w:r>
        <w:rPr>
          <w:b/>
          <w:bCs/>
          <w:i/>
          <w:iCs/>
          <w:vertAlign w:val="superscript"/>
        </w:rPr>
        <w:t>1,2</w:t>
      </w:r>
      <w:r>
        <w:rPr>
          <w:b/>
          <w:bCs/>
          <w:i/>
          <w:iCs/>
        </w:rPr>
        <w:t xml:space="preserve">, Юрасова О.В </w:t>
      </w:r>
      <w:r>
        <w:rPr>
          <w:b/>
          <w:bCs/>
          <w:i/>
          <w:iCs/>
          <w:vertAlign w:val="superscript"/>
        </w:rPr>
        <w:t>1</w:t>
      </w:r>
      <w:r>
        <w:rPr>
          <w:b/>
          <w:bCs/>
          <w:i/>
          <w:iCs/>
        </w:rPr>
        <w:t>, Степанов С.И.</w:t>
      </w:r>
      <w:r>
        <w:rPr>
          <w:b/>
          <w:bCs/>
          <w:i/>
          <w:iCs/>
          <w:vertAlign w:val="superscript"/>
        </w:rPr>
        <w:t>2</w:t>
      </w:r>
    </w:p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u w:val="single"/>
        </w:rPr>
      </w:pPr>
      <w:r>
        <w:rPr>
          <w:i/>
          <w:iCs/>
          <w:u w:val="single"/>
        </w:rPr>
        <w:t>Младший научный сотрудник</w:t>
      </w:r>
    </w:p>
    <w:p w:rsidR="00A61847" w:rsidRDefault="00E91C28">
      <w:pPr>
        <w:spacing w:line="300" w:lineRule="auto"/>
        <w:jc w:val="center"/>
        <w:rPr>
          <w:i/>
          <w:iCs/>
        </w:rPr>
      </w:pPr>
      <w:r>
        <w:rPr>
          <w:i/>
          <w:iCs/>
        </w:rPr>
        <w:t>1 АО «</w:t>
      </w:r>
      <w:proofErr w:type="spellStart"/>
      <w:r>
        <w:rPr>
          <w:i/>
          <w:iCs/>
        </w:rPr>
        <w:t>Гиредмет</w:t>
      </w:r>
      <w:proofErr w:type="spellEnd"/>
      <w:r>
        <w:rPr>
          <w:i/>
          <w:iCs/>
        </w:rPr>
        <w:t>» имени Н.П. Сажина. Москва, Россия</w:t>
      </w:r>
    </w:p>
    <w:p w:rsidR="00A61847" w:rsidRDefault="00E91C28">
      <w:pPr>
        <w:spacing w:line="300" w:lineRule="auto"/>
        <w:jc w:val="center"/>
        <w:rPr>
          <w:i/>
          <w:iCs/>
        </w:rPr>
      </w:pPr>
      <w:r>
        <w:rPr>
          <w:i/>
          <w:iCs/>
        </w:rPr>
        <w:t>2 РХТУ им. Д.И. Менделеева, Москва, Россия</w:t>
      </w:r>
    </w:p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u w:val="single"/>
        </w:rPr>
      </w:pPr>
      <w:r>
        <w:rPr>
          <w:i/>
          <w:iCs/>
        </w:rPr>
        <w:t>E-</w:t>
      </w:r>
      <w:proofErr w:type="spellStart"/>
      <w:r>
        <w:rPr>
          <w:i/>
          <w:iCs/>
        </w:rPr>
        <w:t>mail</w:t>
      </w:r>
      <w:proofErr w:type="spellEnd"/>
      <w:r>
        <w:rPr>
          <w:i/>
          <w:iCs/>
        </w:rPr>
        <w:t>:</w:t>
      </w:r>
      <w:r>
        <w:rPr>
          <w:i/>
          <w:iCs/>
          <w:u w:val="single"/>
        </w:rPr>
        <w:t xml:space="preserve"> </w:t>
      </w:r>
      <w:hyperlink r:id="rId5">
        <w:r>
          <w:rPr>
            <w:i/>
            <w:iCs/>
            <w:u w:val="single"/>
          </w:rPr>
          <w:t>tar02@bk.ru</w:t>
        </w:r>
      </w:hyperlink>
    </w:p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proofErr w:type="gramStart"/>
      <w:r>
        <w:t>Получение  редкоземельных</w:t>
      </w:r>
      <w:proofErr w:type="gramEnd"/>
      <w:r>
        <w:t xml:space="preserve"> элементов (РЗЭ) является важной задачей современной науки и технологии [1]. Для разделения среднетяжелой группы РЗЭ зачастую прим</w:t>
      </w:r>
      <w:r>
        <w:t>еняют фосфорорганические экстрагенты [2]. В последнее время широкое применение нашел моно-2-этилгексиловый эфир 2-этилгексилфосфоновой кислоты (P507). Целью настоящей работы является изучение химии экстракции редкоземельных элементов среднетяжелой группы м</w:t>
      </w:r>
      <w:r>
        <w:t>оно-2-этилгексиловым эфиром 2-этилгексилфосфоновой кислоты из хлоридных и нитратных сред.</w:t>
      </w:r>
    </w:p>
    <w:bookmarkStart w:id="0" w:name="_heading=h.7x9ywwceo4sp" w:colFirst="0" w:colLast="0"/>
    <w:bookmarkEnd w:id="0"/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sdt>
        <w:sdtPr>
          <w:tag w:val="goog_rdk_0"/>
          <w:id w:val="1838523856"/>
        </w:sdtPr>
        <w:sdtEndPr/>
        <w:sdtContent>
          <w:r>
            <w:rPr>
              <w:rFonts w:ascii="Gungsuh" w:eastAsia="Gungsuh" w:hAnsi="Gungsuh" w:cs="Gungsuh"/>
            </w:rPr>
            <w:t xml:space="preserve">Исследована экстракция РЗЭ 1М Р507 в керосине из хлоридных и нитратных растворов. Установлено, что наиболее эффективно экстракция РЗЭ 1М P507 в керосине протекает из </w:t>
          </w:r>
          <w:r>
            <w:rPr>
              <w:rFonts w:ascii="Gungsuh" w:eastAsia="Gungsuh" w:hAnsi="Gungsuh" w:cs="Gungsuh"/>
            </w:rPr>
            <w:t xml:space="preserve">растворов с </w:t>
          </w:r>
          <w:proofErr w:type="spellStart"/>
          <w:r>
            <w:rPr>
              <w:rFonts w:ascii="Gungsuh" w:eastAsia="Gungsuh" w:hAnsi="Gungsuh" w:cs="Gungsuh"/>
            </w:rPr>
            <w:t>pH</w:t>
          </w:r>
          <w:proofErr w:type="spellEnd"/>
          <w:r>
            <w:rPr>
              <w:rFonts w:ascii="Gungsuh" w:eastAsia="Gungsuh" w:hAnsi="Gungsuh" w:cs="Gungsuh"/>
            </w:rPr>
            <w:t xml:space="preserve"> ≥ 1. Время достижения экстракционного равновесия составляет 10 минут.  </w:t>
          </w:r>
        </w:sdtContent>
      </w:sdt>
    </w:p>
    <w:p w:rsidR="0006497D" w:rsidRDefault="0006497D">
      <w:pPr>
        <w:spacing w:line="300" w:lineRule="auto"/>
        <w:ind w:firstLine="708"/>
        <w:rPr>
          <w:noProof/>
          <w:lang w:val="ru-RU"/>
        </w:rPr>
      </w:pPr>
    </w:p>
    <w:p w:rsidR="00A61847" w:rsidRDefault="0006497D">
      <w:pPr>
        <w:spacing w:line="300" w:lineRule="auto"/>
        <w:ind w:firstLine="708"/>
      </w:pPr>
      <w:r w:rsidRPr="0006497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2402</wp:posOffset>
            </wp:positionH>
            <wp:positionV relativeFrom="paragraph">
              <wp:posOffset>422054</wp:posOffset>
            </wp:positionV>
            <wp:extent cx="5831840" cy="2299970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C28">
        <w:t xml:space="preserve">Экспериментально получены изотермы экстракции </w:t>
      </w:r>
      <w:proofErr w:type="spellStart"/>
      <w:r w:rsidR="00E91C28">
        <w:t>Gd</w:t>
      </w:r>
      <w:proofErr w:type="spellEnd"/>
      <w:r w:rsidR="00E91C28">
        <w:t xml:space="preserve"> и </w:t>
      </w:r>
      <w:proofErr w:type="spellStart"/>
      <w:r w:rsidR="00E91C28">
        <w:t>Eu</w:t>
      </w:r>
      <w:proofErr w:type="spellEnd"/>
      <w:r w:rsidR="00E91C28">
        <w:t xml:space="preserve"> 1М P507 в керосине при 25±0,1°С (рис. 1).</w:t>
      </w:r>
    </w:p>
    <w:p w:rsidR="00A61847" w:rsidRDefault="00E91C28">
      <w:pPr>
        <w:spacing w:line="300" w:lineRule="auto"/>
        <w:jc w:val="center"/>
      </w:pPr>
      <w:r>
        <w:t xml:space="preserve">Рис. 1. Изотерма экстракции </w:t>
      </w:r>
      <w:proofErr w:type="spellStart"/>
      <w:r>
        <w:t>Gd</w:t>
      </w:r>
      <w:proofErr w:type="spellEnd"/>
      <w:r>
        <w:t>(NО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 xml:space="preserve"> 1 М P507 в керосине, Б –  Изотерма экстракции </w:t>
      </w:r>
      <w:proofErr w:type="spellStart"/>
      <w:r>
        <w:t>Eu</w:t>
      </w:r>
      <w:proofErr w:type="spellEnd"/>
      <w:r>
        <w:t>(NО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 xml:space="preserve"> 1 М P507 в керосине</w:t>
      </w:r>
      <w:r>
        <w:rPr>
          <w:i/>
          <w:iCs/>
        </w:rPr>
        <w:t xml:space="preserve"> </w:t>
      </w:r>
    </w:p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>
        <w:t xml:space="preserve">На графиках наблюдается резкий скачок концентрации РЗЭ в органической фазе, что указывает на </w:t>
      </w:r>
      <w:r>
        <w:t>образование различных экстра</w:t>
      </w:r>
      <w:bookmarkStart w:id="1" w:name="_GoBack"/>
      <w:bookmarkEnd w:id="1"/>
      <w:r>
        <w:t>гируемых комплексов ([LnA</w:t>
      </w:r>
      <w:r>
        <w:rPr>
          <w:vertAlign w:val="subscript"/>
        </w:rPr>
        <w:t>3</w:t>
      </w:r>
      <w:r>
        <w:t>·(HA)</w:t>
      </w:r>
      <w:r>
        <w:rPr>
          <w:vertAlign w:val="subscript"/>
        </w:rPr>
        <w:t>3</w:t>
      </w:r>
      <w:r>
        <w:t>], LnA</w:t>
      </w:r>
      <w:r>
        <w:rPr>
          <w:vertAlign w:val="subscript"/>
        </w:rPr>
        <w:t>3</w:t>
      </w:r>
      <w:r>
        <w:t xml:space="preserve">). </w:t>
      </w:r>
    </w:p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>
        <w:t xml:space="preserve"> Была изучена з</w:t>
      </w:r>
      <w:r>
        <w:t>ависимость коэффициента распределения от порядкового номера для всего ряда лантаноидов при экстракции РЗЭ из смешанных растворов в области далёкой от насыщения. Коэффициент распределения растёт плавно с увеличением атомного номера. Лучше экстрагируются эле</w:t>
      </w:r>
      <w:r>
        <w:t xml:space="preserve">менты среднетяжелой группы и иттрий. </w:t>
      </w:r>
    </w:p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i/>
          <w:iCs/>
        </w:rPr>
      </w:pPr>
      <w:r>
        <w:rPr>
          <w:i/>
          <w:iCs/>
        </w:rPr>
        <w:t>Авторы статьи выражают благодарность ИАСЦ АО «</w:t>
      </w:r>
      <w:proofErr w:type="spellStart"/>
      <w:r>
        <w:rPr>
          <w:i/>
          <w:iCs/>
        </w:rPr>
        <w:t>Гиредмет</w:t>
      </w:r>
      <w:proofErr w:type="spellEnd"/>
      <w:r>
        <w:rPr>
          <w:i/>
          <w:iCs/>
        </w:rPr>
        <w:t>» за проведение физико-химических анализов.</w:t>
      </w:r>
    </w:p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</w:rPr>
        <w:t>Литература</w:t>
      </w:r>
    </w:p>
    <w:p w:rsidR="00A61847" w:rsidRPr="0006497D" w:rsidRDefault="00E91C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lang w:val="en-US"/>
        </w:rPr>
      </w:pPr>
      <w:r>
        <w:t>1. Поляков Е.Г., Нечаев А.В., Смирнов А.В. Металлургия редкоземельных металлов. М</w:t>
      </w:r>
      <w:r w:rsidRPr="0006497D">
        <w:rPr>
          <w:lang w:val="en-US"/>
        </w:rPr>
        <w:t xml:space="preserve">.: </w:t>
      </w:r>
      <w:proofErr w:type="spellStart"/>
      <w:r>
        <w:t>Металлургиздат</w:t>
      </w:r>
      <w:proofErr w:type="spellEnd"/>
      <w:r w:rsidRPr="0006497D">
        <w:rPr>
          <w:lang w:val="en-US"/>
        </w:rPr>
        <w:t xml:space="preserve">, 2018. 732 </w:t>
      </w:r>
      <w:r>
        <w:t>с</w:t>
      </w:r>
      <w:r w:rsidRPr="0006497D">
        <w:rPr>
          <w:lang w:val="en-US"/>
        </w:rPr>
        <w:t>. https://urait.ru/bcode/566953</w:t>
      </w:r>
    </w:p>
    <w:p w:rsidR="00A61847" w:rsidRDefault="00E91C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r w:rsidRPr="0006497D">
        <w:rPr>
          <w:lang w:val="en-US"/>
        </w:rPr>
        <w:t xml:space="preserve">2. </w:t>
      </w:r>
      <w:proofErr w:type="spellStart"/>
      <w:r w:rsidRPr="0006497D">
        <w:rPr>
          <w:lang w:val="en-US"/>
        </w:rPr>
        <w:t>Hidayah</w:t>
      </w:r>
      <w:proofErr w:type="spellEnd"/>
      <w:r w:rsidRPr="0006497D">
        <w:rPr>
          <w:lang w:val="en-US"/>
        </w:rPr>
        <w:t xml:space="preserve"> N. N., </w:t>
      </w:r>
      <w:proofErr w:type="spellStart"/>
      <w:r w:rsidRPr="0006497D">
        <w:rPr>
          <w:lang w:val="en-US"/>
        </w:rPr>
        <w:t>Abidin</w:t>
      </w:r>
      <w:proofErr w:type="spellEnd"/>
      <w:r w:rsidRPr="0006497D">
        <w:rPr>
          <w:lang w:val="en-US"/>
        </w:rPr>
        <w:t xml:space="preserve"> S. Z. The evolution of mineral processing in extraction of rare earth elements using liq</w:t>
      </w:r>
      <w:r w:rsidRPr="0006497D">
        <w:rPr>
          <w:lang w:val="en-US"/>
        </w:rPr>
        <w:t xml:space="preserve">uid-liquid extraction: A review // Minerals Engineering. </w:t>
      </w:r>
      <w:r>
        <w:t xml:space="preserve">2018. </w:t>
      </w:r>
      <w:proofErr w:type="spellStart"/>
      <w:r>
        <w:t>Vol</w:t>
      </w:r>
      <w:proofErr w:type="spellEnd"/>
      <w:r>
        <w:t>. 121. P. 146–157. DOI: 10.1016/j.mineng.2018.03.018</w:t>
      </w:r>
    </w:p>
    <w:sectPr w:rsidR="00A61847">
      <w:pgSz w:w="11906" w:h="16838"/>
      <w:pgMar w:top="1134" w:right="1361" w:bottom="1127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C83A843-E87F-4B0F-83C9-FC809E5A76F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799C881E-36E4-4AF3-B68F-209D3F151F5B}"/>
  </w:font>
  <w:font w:name="Gungsuh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D10EF29-CBD5-4900-8877-694A24FB08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C54F2D3-C397-4CAC-9839-68CDCA6A30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847"/>
    <w:rsid w:val="0006497D"/>
    <w:rsid w:val="00A61847"/>
    <w:rsid w:val="00E9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E82C4"/>
  <w15:docId w15:val="{C2A7BBF6-F286-4963-8C85-330C025E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Обычный1"/>
    <w:rPr>
      <w:rFonts w:ascii="Times New Roman" w:hAnsi="Times New Roman"/>
      <w:sz w:val="24"/>
    </w:rPr>
  </w:style>
  <w:style w:type="paragraph" w:styleId="20">
    <w:name w:val="toc 2"/>
    <w:link w:val="21"/>
    <w:uiPriority w:val="39"/>
    <w:pPr>
      <w:ind w:left="200"/>
    </w:pPr>
    <w:rPr>
      <w:rFonts w:ascii="XO Thames" w:hAnsi="XO Thames"/>
      <w:sz w:val="28"/>
    </w:rPr>
  </w:style>
  <w:style w:type="character" w:customStyle="1" w:styleId="21">
    <w:name w:val="Оглавление 2 Знак"/>
    <w:link w:val="20"/>
    <w:rPr>
      <w:rFonts w:ascii="XO Thames" w:hAnsi="XO Thames"/>
      <w:sz w:val="28"/>
    </w:rPr>
  </w:style>
  <w:style w:type="paragraph" w:styleId="40">
    <w:name w:val="toc 4"/>
    <w:link w:val="41"/>
    <w:uiPriority w:val="39"/>
    <w:pPr>
      <w:ind w:left="600"/>
    </w:pPr>
    <w:rPr>
      <w:rFonts w:ascii="XO Thames" w:hAnsi="XO Thames"/>
      <w:sz w:val="28"/>
    </w:rPr>
  </w:style>
  <w:style w:type="character" w:customStyle="1" w:styleId="41">
    <w:name w:val="Оглавление 4 Знак"/>
    <w:link w:val="40"/>
    <w:rPr>
      <w:rFonts w:ascii="XO Thames" w:hAnsi="XO Thames"/>
      <w:sz w:val="28"/>
    </w:rPr>
  </w:style>
  <w:style w:type="paragraph" w:styleId="60">
    <w:name w:val="toc 6"/>
    <w:link w:val="61"/>
    <w:uiPriority w:val="39"/>
    <w:pPr>
      <w:ind w:left="1000"/>
    </w:pPr>
    <w:rPr>
      <w:rFonts w:ascii="XO Thames" w:hAnsi="XO Thames"/>
      <w:sz w:val="28"/>
    </w:rPr>
  </w:style>
  <w:style w:type="character" w:customStyle="1" w:styleId="61">
    <w:name w:val="Оглавление 6 Знак"/>
    <w:link w:val="60"/>
    <w:rPr>
      <w:rFonts w:ascii="XO Thames" w:hAnsi="XO Thames"/>
      <w:sz w:val="28"/>
    </w:rPr>
  </w:style>
  <w:style w:type="paragraph" w:styleId="7">
    <w:name w:val="toc 7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0"/>
    <w:rPr>
      <w:rFonts w:ascii="Times New Roman" w:hAnsi="Times New Roman"/>
      <w:b/>
      <w:sz w:val="28"/>
    </w:rPr>
  </w:style>
  <w:style w:type="paragraph" w:customStyle="1" w:styleId="11">
    <w:name w:val="Основной шрифт абзаца1"/>
  </w:style>
  <w:style w:type="paragraph" w:styleId="31">
    <w:name w:val="toc 3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0"/>
    <w:rPr>
      <w:rFonts w:ascii="Times New Roman" w:hAnsi="Times New Roman"/>
      <w:b/>
      <w:sz w:val="22"/>
    </w:rPr>
  </w:style>
  <w:style w:type="character" w:customStyle="1" w:styleId="12">
    <w:name w:val="Заголовок 1 Знак"/>
    <w:basedOn w:val="10"/>
    <w:rPr>
      <w:rFonts w:ascii="Times New Roman" w:hAnsi="Times New Roman"/>
      <w:b/>
      <w:sz w:val="48"/>
    </w:rPr>
  </w:style>
  <w:style w:type="paragraph" w:customStyle="1" w:styleId="13">
    <w:name w:val="Замещающий текст1"/>
    <w:basedOn w:val="11"/>
    <w:link w:val="a4"/>
    <w:rPr>
      <w:color w:val="808080"/>
    </w:rPr>
  </w:style>
  <w:style w:type="character" w:styleId="a4">
    <w:name w:val="Placeholder Text"/>
    <w:basedOn w:val="a0"/>
    <w:link w:val="13"/>
    <w:rPr>
      <w:color w:val="808080"/>
    </w:rPr>
  </w:style>
  <w:style w:type="paragraph" w:customStyle="1" w:styleId="14">
    <w:name w:val="Гиперссылка1"/>
    <w:basedOn w:val="11"/>
    <w:link w:val="a5"/>
    <w:rPr>
      <w:color w:val="0000FF" w:themeColor="hyperlink"/>
      <w:u w:val="single"/>
    </w:rPr>
  </w:style>
  <w:style w:type="character" w:styleId="a5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UnresolvedMention">
    <w:name w:val="Unresolved Mention"/>
    <w:basedOn w:val="11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6">
    <w:name w:val="No Spacing"/>
    <w:link w:val="a7"/>
    <w:rPr>
      <w:sz w:val="22"/>
    </w:rPr>
  </w:style>
  <w:style w:type="character" w:customStyle="1" w:styleId="a7">
    <w:name w:val="Без интервала Знак"/>
    <w:link w:val="a6"/>
    <w:rPr>
      <w:sz w:val="22"/>
    </w:rPr>
  </w:style>
  <w:style w:type="paragraph" w:styleId="9">
    <w:name w:val="toc 9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a8">
    <w:link w:val="a9"/>
    <w:semiHidden/>
    <w:unhideWhenUsed/>
  </w:style>
  <w:style w:type="character" w:customStyle="1" w:styleId="a9">
    <w:link w:val="a8"/>
    <w:semiHidden/>
    <w:unhideWhenUsed/>
    <w:rPr>
      <w:rFonts w:ascii="Times New Roman" w:hAnsi="Times New Roman"/>
      <w:sz w:val="24"/>
    </w:rPr>
  </w:style>
  <w:style w:type="paragraph" w:styleId="8">
    <w:name w:val="toc 8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a">
    <w:name w:val="List Paragraph"/>
    <w:link w:val="ab"/>
    <w:pPr>
      <w:ind w:left="720"/>
      <w:contextualSpacing/>
    </w:pPr>
  </w:style>
  <w:style w:type="character" w:customStyle="1" w:styleId="ab">
    <w:name w:val="Абзац списка Знак"/>
    <w:basedOn w:val="10"/>
    <w:link w:val="aa"/>
    <w:rPr>
      <w:rFonts w:ascii="Times New Roman" w:hAnsi="Times New Roman"/>
      <w:sz w:val="24"/>
    </w:rPr>
  </w:style>
  <w:style w:type="paragraph" w:styleId="51">
    <w:name w:val="toc 5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character" w:customStyle="1" w:styleId="ac">
    <w:name w:val="Подзаголовок Знак"/>
    <w:basedOn w:val="10"/>
    <w:rPr>
      <w:rFonts w:ascii="Georgia" w:hAnsi="Georgia"/>
      <w:i/>
      <w:color w:val="666666"/>
      <w:sz w:val="48"/>
    </w:rPr>
  </w:style>
  <w:style w:type="character" w:customStyle="1" w:styleId="ad">
    <w:name w:val="Заголовок Знак"/>
    <w:basedOn w:val="10"/>
    <w:rPr>
      <w:rFonts w:ascii="Times New Roman" w:hAnsi="Times New Roman"/>
      <w:b/>
      <w:sz w:val="72"/>
    </w:rPr>
  </w:style>
  <w:style w:type="character" w:customStyle="1" w:styleId="42">
    <w:name w:val="Заголовок 4 Знак"/>
    <w:basedOn w:val="10"/>
    <w:rPr>
      <w:rFonts w:ascii="Times New Roman" w:hAnsi="Times New Roman"/>
      <w:b/>
      <w:sz w:val="24"/>
    </w:rPr>
  </w:style>
  <w:style w:type="character" w:customStyle="1" w:styleId="22">
    <w:name w:val="Заголовок 2 Знак"/>
    <w:basedOn w:val="10"/>
    <w:rPr>
      <w:rFonts w:ascii="Times New Roman" w:hAnsi="Times New Roman"/>
      <w:b/>
      <w:sz w:val="36"/>
    </w:rPr>
  </w:style>
  <w:style w:type="character" w:customStyle="1" w:styleId="62">
    <w:name w:val="Заголовок 6 Знак"/>
    <w:basedOn w:val="10"/>
    <w:rPr>
      <w:rFonts w:ascii="Times New Roman" w:hAnsi="Times New Roman"/>
      <w:b/>
      <w:sz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">
    <w:name w:val="Balloon Text"/>
    <w:basedOn w:val="a"/>
    <w:link w:val="af0"/>
    <w:uiPriority w:val="99"/>
    <w:semiHidden/>
    <w:unhideWhenUsed/>
    <w:rsid w:val="0006497D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64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tar02@bk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VqRMXLz381ZFIWFMVC42aw9RQA==">CgMxLjAaFAoBMBIPCg0IB0IJEgdHdW5nc3VoMg5oLjd4OXl3d2NlbzRzcDgAciExeG9ieGFvTG0xN2tNemdMNXp5OEFwTXU4R09ra0d6Y0c=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Елена Олеговна</dc:creator>
  <cp:lastModifiedBy>Королева Елена Олеговна</cp:lastModifiedBy>
  <cp:revision>2</cp:revision>
  <cp:lastPrinted>2026-03-04T13:50:00Z</cp:lastPrinted>
  <dcterms:created xsi:type="dcterms:W3CDTF">2026-03-04T13:53:00Z</dcterms:created>
  <dcterms:modified xsi:type="dcterms:W3CDTF">2026-03-04T13:53:00Z</dcterms:modified>
</cp:coreProperties>
</file>