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7909" w14:textId="7C50F5A3" w:rsidR="00FF3863" w:rsidRPr="00660DC0" w:rsidRDefault="00944079" w:rsidP="00FF3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DC0">
        <w:rPr>
          <w:rFonts w:ascii="Times New Roman" w:hAnsi="Times New Roman" w:cs="Times New Roman"/>
          <w:b/>
          <w:color w:val="000000"/>
          <w:sz w:val="24"/>
          <w:szCs w:val="24"/>
        </w:rPr>
        <w:t>Стеклоприпоечные композиты</w:t>
      </w:r>
    </w:p>
    <w:p w14:paraId="10732E1B" w14:textId="0BA957D0" w:rsidR="00FF3863" w:rsidRPr="00660DC0" w:rsidRDefault="00213B54" w:rsidP="00FF3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DC0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Коврев Я</w:t>
      </w:r>
      <w:r w:rsidR="00FF3863" w:rsidRPr="00660DC0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660DC0">
        <w:rPr>
          <w:rFonts w:ascii="Times New Roman" w:hAnsi="Times New Roman" w:cs="Times New Roman"/>
          <w:b/>
          <w:i/>
          <w:color w:val="000000"/>
          <w:sz w:val="24"/>
          <w:szCs w:val="24"/>
        </w:rPr>
        <w:t>С.</w:t>
      </w:r>
    </w:p>
    <w:p w14:paraId="2DBC8180" w14:textId="604790BC" w:rsidR="00FF3863" w:rsidRPr="00660DC0" w:rsidRDefault="00FF3863" w:rsidP="00FF3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D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213B54" w:rsidRPr="00660DC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Pr="00660D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213B54" w:rsidRPr="00660DC0">
        <w:rPr>
          <w:rFonts w:ascii="Times New Roman" w:hAnsi="Times New Roman" w:cs="Times New Roman"/>
          <w:i/>
          <w:color w:val="000000"/>
          <w:sz w:val="24"/>
          <w:szCs w:val="24"/>
        </w:rPr>
        <w:t>магистратуры</w:t>
      </w:r>
    </w:p>
    <w:p w14:paraId="33C0CE1D" w14:textId="535E75F4" w:rsidR="00FF3863" w:rsidRPr="00660DC0" w:rsidRDefault="00213B54" w:rsidP="00FF3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0DC0">
        <w:rPr>
          <w:rFonts w:ascii="Times New Roman" w:hAnsi="Times New Roman" w:cs="Times New Roman"/>
          <w:i/>
          <w:color w:val="000000"/>
          <w:sz w:val="24"/>
          <w:szCs w:val="24"/>
        </w:rPr>
        <w:t>РХТУ</w:t>
      </w:r>
      <w:r w:rsidR="00FF3863" w:rsidRPr="00660D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имени </w:t>
      </w:r>
      <w:r w:rsidRPr="00660DC0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r w:rsidR="00FF3863" w:rsidRPr="00660DC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660DC0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FF3863" w:rsidRPr="00660D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660DC0">
        <w:rPr>
          <w:rFonts w:ascii="Times New Roman" w:hAnsi="Times New Roman" w:cs="Times New Roman"/>
          <w:i/>
          <w:color w:val="000000"/>
          <w:sz w:val="24"/>
          <w:szCs w:val="24"/>
        </w:rPr>
        <w:t>Менделеева</w:t>
      </w:r>
      <w:r w:rsidR="00FF3863" w:rsidRPr="00660DC0">
        <w:rPr>
          <w:rFonts w:ascii="Times New Roman" w:hAnsi="Times New Roman" w:cs="Times New Roman"/>
          <w:i/>
          <w:color w:val="000000"/>
          <w:sz w:val="24"/>
          <w:szCs w:val="24"/>
        </w:rPr>
        <w:t>, факультет</w:t>
      </w:r>
      <w:r w:rsidRPr="00660D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ТНВиВМ</w:t>
      </w:r>
      <w:r w:rsidR="00FF3863" w:rsidRPr="00660D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Москва, Россия </w:t>
      </w:r>
    </w:p>
    <w:p w14:paraId="1D6FF045" w14:textId="652CD007" w:rsidR="00FF3863" w:rsidRPr="005B730D" w:rsidRDefault="00FF3863" w:rsidP="00FF3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60DC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5B730D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660DC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5B73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213B54" w:rsidRPr="00660DC0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yarikovrev</w:t>
        </w:r>
        <w:r w:rsidR="00213B54" w:rsidRPr="005B730D">
          <w:rPr>
            <w:rStyle w:val="a5"/>
            <w:rFonts w:ascii="Times New Roman" w:hAnsi="Times New Roman" w:cs="Times New Roman"/>
            <w:i/>
            <w:sz w:val="24"/>
            <w:szCs w:val="24"/>
          </w:rPr>
          <w:t>@</w:t>
        </w:r>
        <w:r w:rsidR="00213B54" w:rsidRPr="00660DC0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213B54" w:rsidRPr="005B730D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="00213B54" w:rsidRPr="00660DC0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Pr="005B73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6F6CECDF" w14:textId="63A26824" w:rsidR="00E62F1C" w:rsidRPr="00960145" w:rsidRDefault="00E62F1C" w:rsidP="00660DC0">
      <w:pPr>
        <w:pStyle w:val="ds-markdown-paragraph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660DC0">
        <w:rPr>
          <w:color w:val="000000" w:themeColor="text1"/>
        </w:rPr>
        <w:t xml:space="preserve">Стеклоприпоечные композиции представляют собой гетерофазные материалы, </w:t>
      </w:r>
      <w:r w:rsidR="0014404D" w:rsidRPr="00660DC0">
        <w:rPr>
          <w:color w:val="000000" w:themeColor="text1"/>
        </w:rPr>
        <w:t>состоящие из</w:t>
      </w:r>
      <w:r w:rsidRPr="00660DC0">
        <w:rPr>
          <w:color w:val="000000" w:themeColor="text1"/>
        </w:rPr>
        <w:t xml:space="preserve"> легкоплавк</w:t>
      </w:r>
      <w:r w:rsidR="0014404D" w:rsidRPr="00660DC0">
        <w:rPr>
          <w:color w:val="000000" w:themeColor="text1"/>
        </w:rPr>
        <w:t>ого</w:t>
      </w:r>
      <w:r w:rsidRPr="00660DC0">
        <w:rPr>
          <w:color w:val="000000" w:themeColor="text1"/>
        </w:rPr>
        <w:t xml:space="preserve"> стекл</w:t>
      </w:r>
      <w:r w:rsidR="0014404D" w:rsidRPr="00660DC0">
        <w:rPr>
          <w:color w:val="000000" w:themeColor="text1"/>
        </w:rPr>
        <w:t>а</w:t>
      </w:r>
      <w:r w:rsidRPr="00660DC0">
        <w:rPr>
          <w:color w:val="000000" w:themeColor="text1"/>
        </w:rPr>
        <w:t xml:space="preserve"> и тугоплавк</w:t>
      </w:r>
      <w:r w:rsidR="0014404D" w:rsidRPr="00660DC0">
        <w:rPr>
          <w:color w:val="000000" w:themeColor="text1"/>
        </w:rPr>
        <w:t>ого</w:t>
      </w:r>
      <w:r w:rsidRPr="00660DC0">
        <w:rPr>
          <w:color w:val="000000" w:themeColor="text1"/>
        </w:rPr>
        <w:t xml:space="preserve"> кристаллическ</w:t>
      </w:r>
      <w:r w:rsidR="0014404D" w:rsidRPr="00660DC0">
        <w:rPr>
          <w:color w:val="000000" w:themeColor="text1"/>
        </w:rPr>
        <w:t>ого</w:t>
      </w:r>
      <w:r w:rsidRPr="00660DC0">
        <w:rPr>
          <w:color w:val="000000" w:themeColor="text1"/>
        </w:rPr>
        <w:t xml:space="preserve"> наполнител</w:t>
      </w:r>
      <w:r w:rsidR="0014404D" w:rsidRPr="00660DC0">
        <w:rPr>
          <w:color w:val="000000" w:themeColor="text1"/>
        </w:rPr>
        <w:t>я</w:t>
      </w:r>
      <w:r w:rsidRPr="00660DC0">
        <w:rPr>
          <w:color w:val="000000" w:themeColor="text1"/>
        </w:rPr>
        <w:t xml:space="preserve">. Их </w:t>
      </w:r>
      <w:r w:rsidR="0014404D" w:rsidRPr="00660DC0">
        <w:rPr>
          <w:color w:val="000000" w:themeColor="text1"/>
        </w:rPr>
        <w:t>главное</w:t>
      </w:r>
      <w:r w:rsidRPr="00660DC0">
        <w:rPr>
          <w:color w:val="000000" w:themeColor="text1"/>
        </w:rPr>
        <w:t xml:space="preserve"> преимущество </w:t>
      </w:r>
      <w:r w:rsidR="0014404D" w:rsidRPr="00660DC0">
        <w:rPr>
          <w:color w:val="000000" w:themeColor="text1"/>
        </w:rPr>
        <w:t>в сравнении с другими припоечными материалами –</w:t>
      </w:r>
      <w:r w:rsidRPr="00660DC0">
        <w:rPr>
          <w:color w:val="000000" w:themeColor="text1"/>
        </w:rPr>
        <w:t xml:space="preserve"> возможность</w:t>
      </w:r>
      <w:r w:rsidR="0014404D" w:rsidRPr="00660DC0">
        <w:rPr>
          <w:color w:val="000000" w:themeColor="text1"/>
        </w:rPr>
        <w:t xml:space="preserve"> наиболее</w:t>
      </w:r>
      <w:r w:rsidRPr="00660DC0">
        <w:rPr>
          <w:color w:val="000000" w:themeColor="text1"/>
        </w:rPr>
        <w:t xml:space="preserve"> </w:t>
      </w:r>
      <w:r w:rsidR="0014404D" w:rsidRPr="00960145">
        <w:rPr>
          <w:color w:val="000000" w:themeColor="text1"/>
        </w:rPr>
        <w:t>точного</w:t>
      </w:r>
      <w:r w:rsidRPr="00960145">
        <w:rPr>
          <w:color w:val="000000" w:themeColor="text1"/>
        </w:rPr>
        <w:t xml:space="preserve"> регулирования </w:t>
      </w:r>
      <w:r w:rsidR="0014404D" w:rsidRPr="00960145">
        <w:rPr>
          <w:color w:val="000000" w:themeColor="text1"/>
        </w:rPr>
        <w:t>ТКЛР</w:t>
      </w:r>
      <w:r w:rsidRPr="00960145">
        <w:rPr>
          <w:color w:val="000000" w:themeColor="text1"/>
        </w:rPr>
        <w:t xml:space="preserve">. Это делает их </w:t>
      </w:r>
      <w:r w:rsidR="0014404D" w:rsidRPr="00960145">
        <w:rPr>
          <w:color w:val="000000" w:themeColor="text1"/>
        </w:rPr>
        <w:t>перспективным материалом</w:t>
      </w:r>
      <w:r w:rsidRPr="00960145">
        <w:rPr>
          <w:color w:val="000000" w:themeColor="text1"/>
        </w:rPr>
        <w:t xml:space="preserve"> для вакуум-плотного соединения разнородных</w:t>
      </w:r>
      <w:r w:rsidR="0014404D" w:rsidRPr="00960145">
        <w:rPr>
          <w:color w:val="000000" w:themeColor="text1"/>
        </w:rPr>
        <w:t xml:space="preserve"> </w:t>
      </w:r>
      <w:r w:rsidR="00627923" w:rsidRPr="00627923">
        <w:rPr>
          <w:color w:val="000000" w:themeColor="text1"/>
        </w:rPr>
        <w:t>материалов</w:t>
      </w:r>
      <w:r w:rsidR="00627923">
        <w:rPr>
          <w:color w:val="000000" w:themeColor="text1"/>
        </w:rPr>
        <w:t>, а также материалов</w:t>
      </w:r>
      <w:r w:rsidR="00627923" w:rsidRPr="00627923">
        <w:rPr>
          <w:color w:val="000000" w:themeColor="text1"/>
        </w:rPr>
        <w:t xml:space="preserve"> с околонулевым ТКЛР</w:t>
      </w:r>
      <w:r w:rsidRPr="00960145">
        <w:rPr>
          <w:color w:val="000000" w:themeColor="text1"/>
        </w:rPr>
        <w:t>.</w:t>
      </w:r>
      <w:r w:rsidR="00A4785F">
        <w:rPr>
          <w:color w:val="000000" w:themeColor="text1"/>
        </w:rPr>
        <w:t xml:space="preserve"> </w:t>
      </w:r>
      <w:r w:rsidR="00227352">
        <w:rPr>
          <w:color w:val="000000" w:themeColor="text1"/>
        </w:rPr>
        <w:t>Несмотря</w:t>
      </w:r>
      <w:r w:rsidR="002D3556">
        <w:rPr>
          <w:color w:val="000000" w:themeColor="text1"/>
        </w:rPr>
        <w:t xml:space="preserve"> на то, что</w:t>
      </w:r>
      <w:r w:rsidR="00A4785F">
        <w:rPr>
          <w:color w:val="000000" w:themeColor="text1"/>
        </w:rPr>
        <w:t xml:space="preserve"> химический состав </w:t>
      </w:r>
      <w:r w:rsidR="002D3556">
        <w:rPr>
          <w:color w:val="000000" w:themeColor="text1"/>
        </w:rPr>
        <w:t>двух составляющих</w:t>
      </w:r>
      <w:r w:rsidR="00A4785F" w:rsidRPr="00960145">
        <w:rPr>
          <w:color w:val="000000" w:themeColor="text1"/>
        </w:rPr>
        <w:t xml:space="preserve"> </w:t>
      </w:r>
      <w:r w:rsidR="00A4785F">
        <w:rPr>
          <w:color w:val="000000" w:themeColor="text1"/>
        </w:rPr>
        <w:t>главным образом влия</w:t>
      </w:r>
      <w:r w:rsidR="002D3556">
        <w:rPr>
          <w:color w:val="000000" w:themeColor="text1"/>
        </w:rPr>
        <w:t>е</w:t>
      </w:r>
      <w:r w:rsidR="00A4785F">
        <w:rPr>
          <w:color w:val="000000" w:themeColor="text1"/>
        </w:rPr>
        <w:t>т на свойства конечного стеклокомпозита</w:t>
      </w:r>
      <w:r w:rsidR="002D3556">
        <w:rPr>
          <w:color w:val="000000" w:themeColor="text1"/>
        </w:rPr>
        <w:t>, с</w:t>
      </w:r>
      <w:r w:rsidR="00CE56B8">
        <w:rPr>
          <w:color w:val="000000" w:themeColor="text1"/>
        </w:rPr>
        <w:t>уществуют и другие характеристики</w:t>
      </w:r>
      <w:r w:rsidR="002D3556">
        <w:rPr>
          <w:color w:val="000000" w:themeColor="text1"/>
        </w:rPr>
        <w:t xml:space="preserve">. </w:t>
      </w:r>
      <w:r w:rsidR="00227352">
        <w:rPr>
          <w:color w:val="000000" w:themeColor="text1"/>
        </w:rPr>
        <w:t>З</w:t>
      </w:r>
      <w:r w:rsidR="00CE56B8">
        <w:rPr>
          <w:color w:val="000000" w:themeColor="text1"/>
        </w:rPr>
        <w:t>ависимость</w:t>
      </w:r>
      <w:r w:rsidR="00227352">
        <w:rPr>
          <w:color w:val="000000" w:themeColor="text1"/>
        </w:rPr>
        <w:t xml:space="preserve"> их</w:t>
      </w:r>
      <w:r w:rsidR="00CE56B8">
        <w:rPr>
          <w:color w:val="000000" w:themeColor="text1"/>
        </w:rPr>
        <w:t xml:space="preserve"> свойств требует дальнейших исследований</w:t>
      </w:r>
      <w:r w:rsidRPr="00960145">
        <w:rPr>
          <w:color w:val="000000" w:themeColor="text1"/>
        </w:rPr>
        <w:t>.</w:t>
      </w:r>
    </w:p>
    <w:p w14:paraId="34F1A3C7" w14:textId="72FBB63A" w:rsidR="00AC3E5E" w:rsidRPr="00960145" w:rsidRDefault="002D3556" w:rsidP="00660DC0">
      <w:pPr>
        <w:pStyle w:val="ds-markdown-paragraph"/>
        <w:spacing w:before="0" w:beforeAutospacing="0" w:after="0" w:afterAutospacing="0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В частности,</w:t>
      </w:r>
      <w:r w:rsidR="00370C1F">
        <w:rPr>
          <w:color w:val="000000" w:themeColor="text1"/>
        </w:rPr>
        <w:t xml:space="preserve"> таки</w:t>
      </w:r>
      <w:r>
        <w:rPr>
          <w:color w:val="000000" w:themeColor="text1"/>
        </w:rPr>
        <w:t xml:space="preserve">ми </w:t>
      </w:r>
      <w:r w:rsidR="00370C1F">
        <w:rPr>
          <w:color w:val="000000" w:themeColor="text1"/>
        </w:rPr>
        <w:t>характеристик</w:t>
      </w:r>
      <w:r>
        <w:rPr>
          <w:color w:val="000000" w:themeColor="text1"/>
        </w:rPr>
        <w:t>ами</w:t>
      </w:r>
      <w:r w:rsidR="00370C1F">
        <w:rPr>
          <w:color w:val="000000" w:themeColor="text1"/>
        </w:rPr>
        <w:t xml:space="preserve"> мо</w:t>
      </w:r>
      <w:r>
        <w:rPr>
          <w:color w:val="000000" w:themeColor="text1"/>
        </w:rPr>
        <w:t>гут</w:t>
      </w:r>
      <w:r w:rsidR="00370C1F">
        <w:rPr>
          <w:color w:val="000000" w:themeColor="text1"/>
        </w:rPr>
        <w:t xml:space="preserve"> </w:t>
      </w:r>
      <w:r>
        <w:rPr>
          <w:color w:val="000000" w:themeColor="text1"/>
        </w:rPr>
        <w:t>быть</w:t>
      </w:r>
      <w:r w:rsidR="00370C1F">
        <w:rPr>
          <w:color w:val="000000" w:themeColor="text1"/>
        </w:rPr>
        <w:t xml:space="preserve"> удельн</w:t>
      </w:r>
      <w:r>
        <w:rPr>
          <w:color w:val="000000" w:themeColor="text1"/>
        </w:rPr>
        <w:t>ая</w:t>
      </w:r>
      <w:r w:rsidR="00370C1F">
        <w:rPr>
          <w:color w:val="000000" w:themeColor="text1"/>
        </w:rPr>
        <w:t xml:space="preserve"> поверхность, а также размер и форм</w:t>
      </w:r>
      <w:r>
        <w:rPr>
          <w:color w:val="000000" w:themeColor="text1"/>
        </w:rPr>
        <w:t>а</w:t>
      </w:r>
      <w:r w:rsidR="00370C1F">
        <w:rPr>
          <w:color w:val="000000" w:themeColor="text1"/>
        </w:rPr>
        <w:t xml:space="preserve"> частиц</w:t>
      </w:r>
      <w:r w:rsidR="00E62F1C" w:rsidRPr="00960145">
        <w:rPr>
          <w:color w:val="000000" w:themeColor="text1"/>
        </w:rPr>
        <w:t xml:space="preserve">. </w:t>
      </w:r>
      <w:r w:rsidR="00370C1F">
        <w:rPr>
          <w:color w:val="000000" w:themeColor="text1"/>
        </w:rPr>
        <w:t>Например</w:t>
      </w:r>
      <w:r w:rsidR="00E62F1C" w:rsidRPr="00960145">
        <w:rPr>
          <w:color w:val="000000" w:themeColor="text1"/>
        </w:rPr>
        <w:t>, в с</w:t>
      </w:r>
      <w:r w:rsidR="00346D69" w:rsidRPr="00960145">
        <w:rPr>
          <w:color w:val="000000" w:themeColor="text1"/>
        </w:rPr>
        <w:t xml:space="preserve">теклокомпозите </w:t>
      </w:r>
      <w:r w:rsidR="00286FC6" w:rsidRPr="00960145">
        <w:rPr>
          <w:color w:val="000000" w:themeColor="text1"/>
        </w:rPr>
        <w:t xml:space="preserve">из </w:t>
      </w:r>
      <w:r w:rsidR="00346D69" w:rsidRPr="00960145">
        <w:rPr>
          <w:color w:val="000000" w:themeColor="text1"/>
        </w:rPr>
        <w:t>ЛС-11</w:t>
      </w:r>
      <w:r w:rsidR="00286FC6" w:rsidRPr="00960145">
        <w:rPr>
          <w:color w:val="000000" w:themeColor="text1"/>
        </w:rPr>
        <w:t>3 и</w:t>
      </w:r>
      <w:r w:rsidR="00E62F1C" w:rsidRPr="00960145">
        <w:rPr>
          <w:color w:val="000000" w:themeColor="text1"/>
        </w:rPr>
        <w:t xml:space="preserve"> PbTiO</w:t>
      </w:r>
      <w:r w:rsidR="00286FC6" w:rsidRPr="00960145">
        <w:rPr>
          <w:color w:val="000000" w:themeColor="text1"/>
          <w:vertAlign w:val="subscript"/>
        </w:rPr>
        <w:t>3</w:t>
      </w:r>
      <w:r w:rsidR="00E62F1C" w:rsidRPr="00960145">
        <w:rPr>
          <w:color w:val="000000" w:themeColor="text1"/>
        </w:rPr>
        <w:t xml:space="preserve"> </w:t>
      </w:r>
      <w:r w:rsidR="00146A37">
        <w:rPr>
          <w:color w:val="000000" w:themeColor="text1"/>
        </w:rPr>
        <w:t>и</w:t>
      </w:r>
      <w:r w:rsidR="00E62F1C" w:rsidRPr="00960145">
        <w:rPr>
          <w:color w:val="000000" w:themeColor="text1"/>
        </w:rPr>
        <w:t xml:space="preserve">сследования показали, что снижение удельной поверхности </w:t>
      </w:r>
      <w:r>
        <w:rPr>
          <w:color w:val="000000" w:themeColor="text1"/>
        </w:rPr>
        <w:t>наполнителя</w:t>
      </w:r>
      <w:r w:rsidR="00E62F1C" w:rsidRPr="00960145">
        <w:rPr>
          <w:color w:val="000000" w:themeColor="text1"/>
        </w:rPr>
        <w:t xml:space="preserve"> менее 560 см²/г позволяет впервые</w:t>
      </w:r>
      <w:r w:rsidR="00286FC6" w:rsidRPr="00960145">
        <w:rPr>
          <w:color w:val="000000" w:themeColor="text1"/>
        </w:rPr>
        <w:t xml:space="preserve"> для этой системы</w:t>
      </w:r>
      <w:r w:rsidR="00E62F1C" w:rsidRPr="00960145">
        <w:rPr>
          <w:color w:val="000000" w:themeColor="text1"/>
        </w:rPr>
        <w:t xml:space="preserve"> достичь</w:t>
      </w:r>
      <w:r w:rsidR="001302D0" w:rsidRPr="00960145">
        <w:rPr>
          <w:color w:val="000000" w:themeColor="text1"/>
        </w:rPr>
        <w:t xml:space="preserve"> </w:t>
      </w:r>
      <w:r w:rsidR="00E62F1C" w:rsidRPr="00960145">
        <w:rPr>
          <w:rStyle w:val="a4"/>
          <w:i w:val="0"/>
          <w:iCs w:val="0"/>
          <w:color w:val="000000" w:themeColor="text1"/>
        </w:rPr>
        <w:t>отрицательных</w:t>
      </w:r>
      <w:r w:rsidR="001302D0" w:rsidRPr="00960145">
        <w:rPr>
          <w:rStyle w:val="a4"/>
          <w:i w:val="0"/>
          <w:iCs w:val="0"/>
          <w:color w:val="000000" w:themeColor="text1"/>
        </w:rPr>
        <w:t xml:space="preserve"> </w:t>
      </w:r>
      <w:r w:rsidR="00E62F1C" w:rsidRPr="00960145">
        <w:rPr>
          <w:color w:val="000000" w:themeColor="text1"/>
        </w:rPr>
        <w:t>и околонулевых значений ТКЛР при концентрациях наполнителя до 55</w:t>
      </w:r>
      <w:r w:rsidR="00627923">
        <w:rPr>
          <w:color w:val="000000" w:themeColor="text1"/>
        </w:rPr>
        <w:t xml:space="preserve"> мас.</w:t>
      </w:r>
      <w:r w:rsidR="00E62F1C" w:rsidRPr="00960145">
        <w:rPr>
          <w:color w:val="000000" w:themeColor="text1"/>
        </w:rPr>
        <w:t>%</w:t>
      </w:r>
      <w:r w:rsidR="00286FC6" w:rsidRPr="00960145">
        <w:rPr>
          <w:color w:val="000000" w:themeColor="text1"/>
        </w:rPr>
        <w:t xml:space="preserve"> [1]</w:t>
      </w:r>
      <w:r w:rsidR="00E62F1C" w:rsidRPr="00960145">
        <w:rPr>
          <w:color w:val="000000" w:themeColor="text1"/>
        </w:rPr>
        <w:t xml:space="preserve">. При </w:t>
      </w:r>
      <w:r w:rsidR="007654F5">
        <w:rPr>
          <w:color w:val="000000" w:themeColor="text1"/>
        </w:rPr>
        <w:t xml:space="preserve">его </w:t>
      </w:r>
      <w:r w:rsidR="00E62F1C" w:rsidRPr="00960145">
        <w:rPr>
          <w:color w:val="000000" w:themeColor="text1"/>
        </w:rPr>
        <w:t>измельчении свыше 1000 см</w:t>
      </w:r>
      <w:r w:rsidR="00286FC6" w:rsidRPr="00960145">
        <w:rPr>
          <w:color w:val="000000" w:themeColor="text1"/>
          <w:vertAlign w:val="superscript"/>
        </w:rPr>
        <w:t>2</w:t>
      </w:r>
      <w:r w:rsidR="00E62F1C" w:rsidRPr="00960145">
        <w:rPr>
          <w:color w:val="000000" w:themeColor="text1"/>
        </w:rPr>
        <w:t xml:space="preserve">/г эффективность падает </w:t>
      </w:r>
      <w:r w:rsidR="00286FC6" w:rsidRPr="00960145">
        <w:rPr>
          <w:color w:val="000000" w:themeColor="text1"/>
        </w:rPr>
        <w:t>–</w:t>
      </w:r>
      <w:r w:rsidR="00E62F1C" w:rsidRPr="00960145">
        <w:rPr>
          <w:color w:val="000000" w:themeColor="text1"/>
        </w:rPr>
        <w:t xml:space="preserve"> зависимость ТКЛР </w:t>
      </w:r>
      <w:r w:rsidR="00286FC6" w:rsidRPr="00960145">
        <w:rPr>
          <w:color w:val="000000" w:themeColor="text1"/>
        </w:rPr>
        <w:t xml:space="preserve">от удельной поверхности </w:t>
      </w:r>
      <w:r w:rsidR="00E62F1C" w:rsidRPr="00960145">
        <w:rPr>
          <w:color w:val="000000" w:themeColor="text1"/>
        </w:rPr>
        <w:t>выходит на плато.</w:t>
      </w:r>
    </w:p>
    <w:p w14:paraId="2393769B" w14:textId="18BF00F0" w:rsidR="00370C1F" w:rsidRPr="005045F9" w:rsidRDefault="00AE5510" w:rsidP="00660DC0">
      <w:pPr>
        <w:pStyle w:val="ds-markdown-paragraph"/>
        <w:spacing w:before="0" w:beforeAutospacing="0" w:after="0" w:afterAutospacing="0"/>
        <w:ind w:firstLine="397"/>
        <w:jc w:val="both"/>
        <w:rPr>
          <w:rStyle w:val="a4"/>
          <w:i w:val="0"/>
          <w:iCs w:val="0"/>
          <w:color w:val="000000" w:themeColor="text1"/>
        </w:rPr>
      </w:pPr>
      <w:r w:rsidRPr="00AE5510">
        <w:rPr>
          <w:rStyle w:val="a4"/>
          <w:i w:val="0"/>
          <w:iCs w:val="0"/>
          <w:color w:val="000000" w:themeColor="text1"/>
        </w:rPr>
        <w:t>Поскольку в системе с PbTiO3 были достигнуты интересные результаты, целесообразн</w:t>
      </w:r>
      <w:r>
        <w:rPr>
          <w:rStyle w:val="a4"/>
          <w:i w:val="0"/>
          <w:iCs w:val="0"/>
          <w:color w:val="000000" w:themeColor="text1"/>
        </w:rPr>
        <w:t>о</w:t>
      </w:r>
      <w:r w:rsidRPr="00AE5510">
        <w:rPr>
          <w:rStyle w:val="a4"/>
          <w:i w:val="0"/>
          <w:iCs w:val="0"/>
          <w:color w:val="000000" w:themeColor="text1"/>
        </w:rPr>
        <w:t xml:space="preserve"> изучить влияние морфологии частиц в системе с другим наполнителем, также обладающим отрицательным ТКЛР, а именно β-эвкриптитом</w:t>
      </w:r>
      <w:r>
        <w:rPr>
          <w:rStyle w:val="a4"/>
          <w:i w:val="0"/>
          <w:iCs w:val="0"/>
          <w:color w:val="000000" w:themeColor="text1"/>
        </w:rPr>
        <w:t>.</w:t>
      </w:r>
      <w:r w:rsidR="00343C73">
        <w:rPr>
          <w:rStyle w:val="a4"/>
          <w:i w:val="0"/>
          <w:iCs w:val="0"/>
          <w:color w:val="000000" w:themeColor="text1"/>
        </w:rPr>
        <w:t xml:space="preserve"> </w:t>
      </w:r>
      <w:r w:rsidR="007654F5">
        <w:rPr>
          <w:rStyle w:val="a4"/>
          <w:i w:val="0"/>
          <w:iCs w:val="0"/>
          <w:color w:val="000000" w:themeColor="text1"/>
        </w:rPr>
        <w:t>В связи с этим б</w:t>
      </w:r>
      <w:r w:rsidR="00343C73">
        <w:rPr>
          <w:rStyle w:val="a4"/>
          <w:i w:val="0"/>
          <w:iCs w:val="0"/>
          <w:color w:val="000000" w:themeColor="text1"/>
        </w:rPr>
        <w:t>ыл</w:t>
      </w:r>
      <w:r w:rsidR="00A84046">
        <w:rPr>
          <w:rStyle w:val="a4"/>
          <w:i w:val="0"/>
          <w:iCs w:val="0"/>
          <w:color w:val="000000" w:themeColor="text1"/>
        </w:rPr>
        <w:t>а проведена серия варок</w:t>
      </w:r>
      <w:r w:rsidR="007654F5">
        <w:rPr>
          <w:rStyle w:val="a4"/>
          <w:i w:val="0"/>
          <w:iCs w:val="0"/>
          <w:color w:val="000000" w:themeColor="text1"/>
        </w:rPr>
        <w:t xml:space="preserve"> в системе</w:t>
      </w:r>
      <w:r w:rsidR="00343C73">
        <w:rPr>
          <w:color w:val="000000" w:themeColor="text1"/>
        </w:rPr>
        <w:t xml:space="preserve"> ЛС-113 </w:t>
      </w:r>
      <w:r w:rsidR="00343C73" w:rsidRPr="00660DC0">
        <w:rPr>
          <w:color w:val="000000" w:themeColor="text1"/>
        </w:rPr>
        <w:t xml:space="preserve">и </w:t>
      </w:r>
      <w:r w:rsidR="00343C73">
        <w:rPr>
          <w:color w:val="000000" w:themeColor="text1"/>
        </w:rPr>
        <w:t>β-эвкриптит</w:t>
      </w:r>
      <w:r w:rsidR="00A84046">
        <w:rPr>
          <w:color w:val="000000" w:themeColor="text1"/>
        </w:rPr>
        <w:t xml:space="preserve">. </w:t>
      </w:r>
      <w:r w:rsidR="007654F5" w:rsidRPr="007654F5">
        <w:rPr>
          <w:color w:val="000000" w:themeColor="text1"/>
        </w:rPr>
        <w:t>После варки ЛС-113 при 900 °С, выработки в воду и помола его удельная поверхность достигла 2</w:t>
      </w:r>
      <w:r w:rsidR="0053626C">
        <w:rPr>
          <w:color w:val="000000" w:themeColor="text1"/>
        </w:rPr>
        <w:t>5</w:t>
      </w:r>
      <w:r w:rsidR="007654F5" w:rsidRPr="007654F5">
        <w:rPr>
          <w:color w:val="000000" w:themeColor="text1"/>
        </w:rPr>
        <w:t>00 см²/г</w:t>
      </w:r>
      <w:r w:rsidR="005045F9">
        <w:rPr>
          <w:color w:val="000000" w:themeColor="text1"/>
        </w:rPr>
        <w:t xml:space="preserve">. </w:t>
      </w:r>
      <w:r w:rsidR="00A84046">
        <w:rPr>
          <w:color w:val="000000" w:themeColor="text1"/>
        </w:rPr>
        <w:t>β</w:t>
      </w:r>
      <w:r w:rsidR="005045F9">
        <w:rPr>
          <w:color w:val="000000" w:themeColor="text1"/>
        </w:rPr>
        <w:t>-эвкриптит</w:t>
      </w:r>
      <w:r w:rsidR="00CD502B">
        <w:rPr>
          <w:color w:val="000000" w:themeColor="text1"/>
        </w:rPr>
        <w:t xml:space="preserve"> </w:t>
      </w:r>
      <w:r w:rsidR="005045F9">
        <w:rPr>
          <w:color w:val="000000" w:themeColor="text1"/>
        </w:rPr>
        <w:t>получ</w:t>
      </w:r>
      <w:r w:rsidR="007654F5">
        <w:rPr>
          <w:color w:val="000000" w:themeColor="text1"/>
        </w:rPr>
        <w:t>ен</w:t>
      </w:r>
      <w:r w:rsidR="005045F9">
        <w:rPr>
          <w:color w:val="000000" w:themeColor="text1"/>
        </w:rPr>
        <w:t xml:space="preserve"> при 1450 °С и измельчен. </w:t>
      </w:r>
      <w:r w:rsidR="007718F0">
        <w:rPr>
          <w:color w:val="000000" w:themeColor="text1"/>
        </w:rPr>
        <w:t xml:space="preserve">На основании </w:t>
      </w:r>
      <w:r w:rsidR="007718F0" w:rsidRPr="00960145">
        <w:rPr>
          <w:color w:val="000000" w:themeColor="text1"/>
        </w:rPr>
        <w:t>[1]</w:t>
      </w:r>
      <w:r w:rsidR="007718F0">
        <w:rPr>
          <w:color w:val="000000" w:themeColor="text1"/>
        </w:rPr>
        <w:t xml:space="preserve"> б</w:t>
      </w:r>
      <w:r w:rsidR="005045F9">
        <w:rPr>
          <w:color w:val="000000" w:themeColor="text1"/>
        </w:rPr>
        <w:t>ыли выбраны несколько фракций</w:t>
      </w:r>
      <w:r w:rsidR="00A84046">
        <w:rPr>
          <w:color w:val="000000" w:themeColor="text1"/>
        </w:rPr>
        <w:t xml:space="preserve"> эвкриптита</w:t>
      </w:r>
      <w:r w:rsidR="005045F9">
        <w:rPr>
          <w:color w:val="000000" w:themeColor="text1"/>
        </w:rPr>
        <w:t xml:space="preserve"> п</w:t>
      </w:r>
      <w:r w:rsidR="00A84046">
        <w:rPr>
          <w:color w:val="000000" w:themeColor="text1"/>
        </w:rPr>
        <w:t>о размеру (в мкм): менее 3</w:t>
      </w:r>
      <w:r w:rsidR="00382A22">
        <w:rPr>
          <w:color w:val="000000" w:themeColor="text1"/>
        </w:rPr>
        <w:t>0</w:t>
      </w:r>
      <w:r w:rsidR="00A84046">
        <w:rPr>
          <w:color w:val="000000" w:themeColor="text1"/>
        </w:rPr>
        <w:t>, 3</w:t>
      </w:r>
      <w:r w:rsidR="00382A22">
        <w:rPr>
          <w:color w:val="000000" w:themeColor="text1"/>
        </w:rPr>
        <w:t>0</w:t>
      </w:r>
      <w:r w:rsidR="00A84046">
        <w:rPr>
          <w:color w:val="000000" w:themeColor="text1"/>
        </w:rPr>
        <w:t xml:space="preserve"> – 60, 60 – 90, 90 –120, 120 – 250.</w:t>
      </w:r>
      <w:r w:rsidR="007718F0">
        <w:rPr>
          <w:color w:val="000000" w:themeColor="text1"/>
        </w:rPr>
        <w:t xml:space="preserve"> После чего </w:t>
      </w:r>
      <w:r w:rsidR="007654F5">
        <w:rPr>
          <w:color w:val="000000" w:themeColor="text1"/>
        </w:rPr>
        <w:t>смесь</w:t>
      </w:r>
      <w:r w:rsidR="007718F0">
        <w:rPr>
          <w:color w:val="000000" w:themeColor="text1"/>
        </w:rPr>
        <w:t xml:space="preserve"> в пропорции 3:7 (ЛС-113 и эвкриптит соответственно)</w:t>
      </w:r>
      <w:r w:rsidR="002A0699">
        <w:rPr>
          <w:color w:val="000000" w:themeColor="text1"/>
        </w:rPr>
        <w:t xml:space="preserve"> была подвергнута с</w:t>
      </w:r>
      <w:r w:rsidR="007718F0">
        <w:rPr>
          <w:color w:val="000000" w:themeColor="text1"/>
        </w:rPr>
        <w:t>пе</w:t>
      </w:r>
      <w:r w:rsidR="002A0699">
        <w:rPr>
          <w:color w:val="000000" w:themeColor="text1"/>
        </w:rPr>
        <w:t>канию</w:t>
      </w:r>
      <w:r w:rsidR="007718F0">
        <w:rPr>
          <w:color w:val="000000" w:themeColor="text1"/>
        </w:rPr>
        <w:t xml:space="preserve"> при 450 °С</w:t>
      </w:r>
      <w:r w:rsidR="002A0699">
        <w:rPr>
          <w:color w:val="000000" w:themeColor="text1"/>
        </w:rPr>
        <w:t>. Готовые</w:t>
      </w:r>
      <w:r w:rsidR="007718F0">
        <w:rPr>
          <w:color w:val="000000" w:themeColor="text1"/>
        </w:rPr>
        <w:t xml:space="preserve"> образцы были подвергнуты анализу на дилатометре (табл.1).</w:t>
      </w:r>
      <w:r w:rsidR="00382A22">
        <w:rPr>
          <w:color w:val="000000" w:themeColor="text1"/>
        </w:rPr>
        <w:t xml:space="preserve"> В таблице </w:t>
      </w:r>
      <w:r w:rsidR="002A0699">
        <w:rPr>
          <w:color w:val="000000" w:themeColor="text1"/>
        </w:rPr>
        <w:t xml:space="preserve">1 </w:t>
      </w:r>
      <w:r w:rsidR="00382A22">
        <w:rPr>
          <w:color w:val="000000" w:themeColor="text1"/>
        </w:rPr>
        <w:t>ТКЛР приведен в диапазоне температур от 126 до 210 °С.</w:t>
      </w:r>
    </w:p>
    <w:p w14:paraId="1299ADC2" w14:textId="3FE3035D" w:rsidR="007718F0" w:rsidRPr="00960145" w:rsidRDefault="00B5637B" w:rsidP="00660DC0">
      <w:pPr>
        <w:pStyle w:val="ds-markdown-paragraph"/>
        <w:spacing w:before="0" w:beforeAutospacing="0" w:after="0" w:afterAutospacing="0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Таблица 1. Результаты ТКЛР стеклокомпозитов в зависимости от размера частиц.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06"/>
        <w:gridCol w:w="1352"/>
        <w:gridCol w:w="1356"/>
        <w:gridCol w:w="1352"/>
        <w:gridCol w:w="1354"/>
        <w:gridCol w:w="1354"/>
      </w:tblGrid>
      <w:tr w:rsidR="007718F0" w14:paraId="7AD3B2BD" w14:textId="77777777" w:rsidTr="00CF0061">
        <w:tc>
          <w:tcPr>
            <w:tcW w:w="1311" w:type="pct"/>
          </w:tcPr>
          <w:p w14:paraId="02141493" w14:textId="0711322F" w:rsidR="007718F0" w:rsidRDefault="007718F0" w:rsidP="00382A22">
            <w:pPr>
              <w:pStyle w:val="ds-markdown-paragrap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Фракция</w:t>
            </w:r>
            <w:r w:rsidR="00B5637B">
              <w:rPr>
                <w:color w:val="000000" w:themeColor="text1"/>
              </w:rPr>
              <w:t xml:space="preserve"> </w:t>
            </w:r>
            <w:r w:rsidR="00B5637B">
              <w:rPr>
                <w:color w:val="000000" w:themeColor="text1"/>
              </w:rPr>
              <w:br/>
              <w:t>β-эвкриптита, мкм</w:t>
            </w:r>
          </w:p>
        </w:tc>
        <w:tc>
          <w:tcPr>
            <w:tcW w:w="737" w:type="pct"/>
          </w:tcPr>
          <w:p w14:paraId="57660C84" w14:textId="140A6C94" w:rsidR="007718F0" w:rsidRDefault="00CF0061" w:rsidP="00382A22">
            <w:pPr>
              <w:pStyle w:val="ds-markdown-paragrap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Менее 3</w:t>
            </w:r>
            <w:r w:rsidR="00382A22">
              <w:rPr>
                <w:color w:val="000000" w:themeColor="text1"/>
              </w:rPr>
              <w:t>0</w:t>
            </w:r>
          </w:p>
        </w:tc>
        <w:tc>
          <w:tcPr>
            <w:tcW w:w="739" w:type="pct"/>
          </w:tcPr>
          <w:p w14:paraId="00FAF7E1" w14:textId="2746375C" w:rsidR="007718F0" w:rsidRDefault="00CF0061" w:rsidP="00382A22">
            <w:pPr>
              <w:pStyle w:val="ds-markdown-paragrap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382A22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– 60</w:t>
            </w:r>
          </w:p>
        </w:tc>
        <w:tc>
          <w:tcPr>
            <w:tcW w:w="737" w:type="pct"/>
          </w:tcPr>
          <w:p w14:paraId="370427A3" w14:textId="3691C717" w:rsidR="007718F0" w:rsidRDefault="00CF0061" w:rsidP="00382A22">
            <w:pPr>
              <w:pStyle w:val="ds-markdown-paragrap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 – 90</w:t>
            </w:r>
          </w:p>
        </w:tc>
        <w:tc>
          <w:tcPr>
            <w:tcW w:w="738" w:type="pct"/>
          </w:tcPr>
          <w:p w14:paraId="35717B32" w14:textId="1A176061" w:rsidR="007718F0" w:rsidRDefault="00CF0061" w:rsidP="00382A22">
            <w:pPr>
              <w:pStyle w:val="ds-markdown-paragrap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 –120</w:t>
            </w:r>
          </w:p>
        </w:tc>
        <w:tc>
          <w:tcPr>
            <w:tcW w:w="738" w:type="pct"/>
          </w:tcPr>
          <w:p w14:paraId="5D901071" w14:textId="4201A6C3" w:rsidR="007718F0" w:rsidRDefault="00CF0061" w:rsidP="00382A22">
            <w:pPr>
              <w:pStyle w:val="ds-markdown-paragrap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 – 250</w:t>
            </w:r>
          </w:p>
        </w:tc>
      </w:tr>
      <w:tr w:rsidR="00CF0061" w14:paraId="2000617D" w14:textId="77777777" w:rsidTr="00CF0061">
        <w:tc>
          <w:tcPr>
            <w:tcW w:w="1311" w:type="pct"/>
          </w:tcPr>
          <w:p w14:paraId="267CE7E2" w14:textId="770DF1F1" w:rsidR="00CF0061" w:rsidRPr="00B5637B" w:rsidRDefault="00627923" w:rsidP="00382A22">
            <w:pPr>
              <w:pStyle w:val="ds-markdown-paragraph"/>
              <w:spacing w:before="0" w:beforeAutospacing="0" w:after="0" w:afterAutospacing="0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ТКЛР, (</w:t>
            </w:r>
            <w:r w:rsidR="00382A22">
              <w:rPr>
                <w:color w:val="000000" w:themeColor="text1"/>
              </w:rPr>
              <w:t>α*10</w:t>
            </w:r>
            <w:r w:rsidR="00382A22">
              <w:rPr>
                <w:color w:val="000000" w:themeColor="text1"/>
                <w:vertAlign w:val="superscript"/>
              </w:rPr>
              <w:t>-7</w:t>
            </w:r>
            <w:r>
              <w:rPr>
                <w:color w:val="000000" w:themeColor="text1"/>
              </w:rPr>
              <w:t>)</w:t>
            </w:r>
            <w:r w:rsidR="00382A22">
              <w:rPr>
                <w:color w:val="000000" w:themeColor="text1"/>
              </w:rPr>
              <w:t xml:space="preserve">, </w:t>
            </w:r>
            <w:r w:rsidR="00CF0061">
              <w:rPr>
                <w:color w:val="000000" w:themeColor="text1"/>
              </w:rPr>
              <w:t>стеклокомпозита, К</w:t>
            </w:r>
            <w:r w:rsidR="00CF0061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737" w:type="pct"/>
          </w:tcPr>
          <w:p w14:paraId="20D8A03F" w14:textId="243B101F" w:rsidR="00CF0061" w:rsidRPr="00CF0061" w:rsidRDefault="0053626C" w:rsidP="00382A22">
            <w:pPr>
              <w:pStyle w:val="ds-markdown-paragraph"/>
              <w:spacing w:before="0" w:beforeAutospacing="0" w:after="0" w:afterAutospacing="0"/>
              <w:rPr>
                <w:color w:val="000000" w:themeColor="text1"/>
                <w:vertAlign w:val="superscript"/>
              </w:rPr>
            </w:pPr>
            <w:r>
              <w:t>50</w:t>
            </w:r>
          </w:p>
        </w:tc>
        <w:tc>
          <w:tcPr>
            <w:tcW w:w="739" w:type="pct"/>
          </w:tcPr>
          <w:p w14:paraId="31884DE1" w14:textId="01148812" w:rsidR="00CF0061" w:rsidRDefault="00CF0061" w:rsidP="00382A22">
            <w:pPr>
              <w:pStyle w:val="ds-markdown-paragraph"/>
              <w:spacing w:before="0" w:beforeAutospacing="0" w:after="0" w:afterAutospacing="0"/>
              <w:rPr>
                <w:color w:val="000000" w:themeColor="text1"/>
              </w:rPr>
            </w:pPr>
            <w:r w:rsidRPr="00EB2D27">
              <w:t>29</w:t>
            </w:r>
          </w:p>
        </w:tc>
        <w:tc>
          <w:tcPr>
            <w:tcW w:w="737" w:type="pct"/>
          </w:tcPr>
          <w:p w14:paraId="55208508" w14:textId="00190ED6" w:rsidR="00CF0061" w:rsidRDefault="00CF0061" w:rsidP="00382A22">
            <w:pPr>
              <w:pStyle w:val="ds-markdown-paragraph"/>
              <w:spacing w:before="0" w:beforeAutospacing="0" w:after="0" w:afterAutospacing="0"/>
              <w:rPr>
                <w:color w:val="000000" w:themeColor="text1"/>
              </w:rPr>
            </w:pPr>
            <w:r w:rsidRPr="00EB2D27">
              <w:t>0,35</w:t>
            </w:r>
          </w:p>
        </w:tc>
        <w:tc>
          <w:tcPr>
            <w:tcW w:w="738" w:type="pct"/>
          </w:tcPr>
          <w:p w14:paraId="5B9C6B02" w14:textId="077B6AAE" w:rsidR="00CF0061" w:rsidRDefault="00CF0061" w:rsidP="00382A22">
            <w:pPr>
              <w:pStyle w:val="ds-markdown-paragraph"/>
              <w:spacing w:before="0" w:beforeAutospacing="0" w:after="0" w:afterAutospacing="0"/>
              <w:rPr>
                <w:color w:val="000000" w:themeColor="text1"/>
              </w:rPr>
            </w:pPr>
            <w:r w:rsidRPr="00EB2D27">
              <w:t>-17</w:t>
            </w:r>
          </w:p>
        </w:tc>
        <w:tc>
          <w:tcPr>
            <w:tcW w:w="738" w:type="pct"/>
          </w:tcPr>
          <w:p w14:paraId="1AC2032C" w14:textId="1A375ABA" w:rsidR="00CF0061" w:rsidRDefault="00CF0061" w:rsidP="00382A22">
            <w:pPr>
              <w:pStyle w:val="ds-markdown-paragraph"/>
              <w:spacing w:before="0" w:beforeAutospacing="0" w:after="0" w:afterAutospacing="0"/>
              <w:rPr>
                <w:color w:val="000000" w:themeColor="text1"/>
              </w:rPr>
            </w:pPr>
            <w:r w:rsidRPr="00EB2D27">
              <w:t>-1</w:t>
            </w:r>
            <w:r w:rsidR="0053626C">
              <w:t>4</w:t>
            </w:r>
          </w:p>
        </w:tc>
      </w:tr>
    </w:tbl>
    <w:p w14:paraId="36C9D794" w14:textId="636CAA3F" w:rsidR="00362186" w:rsidRPr="00660DC0" w:rsidRDefault="00382A22" w:rsidP="00660DC0">
      <w:pPr>
        <w:pStyle w:val="ds-markdown-paragraph"/>
        <w:spacing w:before="0" w:beforeAutospacing="0" w:after="0" w:afterAutospacing="0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результате </w:t>
      </w:r>
      <w:r w:rsidR="00AE5510">
        <w:rPr>
          <w:color w:val="000000" w:themeColor="text1"/>
        </w:rPr>
        <w:t>можно сказать</w:t>
      </w:r>
      <w:r w:rsidR="00AE5510" w:rsidRPr="00AE5510">
        <w:rPr>
          <w:color w:val="000000" w:themeColor="text1"/>
        </w:rPr>
        <w:t>, что увеличение размера частиц наполнителя приводит к закономерному снижению ТКЛР вплоть до отрицательных значений, однако при дальнейшем росте частиц (свыше 120 мкм) наблюдается незначительное увеличение коэффициента</w:t>
      </w:r>
      <w:r w:rsidR="00146A37">
        <w:rPr>
          <w:color w:val="000000" w:themeColor="text1"/>
        </w:rPr>
        <w:t xml:space="preserve">. </w:t>
      </w:r>
      <w:r w:rsidR="00AE5510">
        <w:rPr>
          <w:color w:val="000000" w:themeColor="text1"/>
        </w:rPr>
        <w:t>Р</w:t>
      </w:r>
      <w:r>
        <w:rPr>
          <w:color w:val="000000" w:themeColor="text1"/>
        </w:rPr>
        <w:t xml:space="preserve">азмер частиц </w:t>
      </w:r>
      <w:r w:rsidR="00146A37">
        <w:rPr>
          <w:color w:val="000000" w:themeColor="text1"/>
        </w:rPr>
        <w:t xml:space="preserve">60 – 90 мкм </w:t>
      </w:r>
      <w:r w:rsidR="00AE5510">
        <w:rPr>
          <w:color w:val="000000" w:themeColor="text1"/>
        </w:rPr>
        <w:t>позволяет</w:t>
      </w:r>
      <w:r w:rsidR="00146A37">
        <w:rPr>
          <w:color w:val="000000" w:themeColor="text1"/>
        </w:rPr>
        <w:t xml:space="preserve"> получ</w:t>
      </w:r>
      <w:r w:rsidR="00AE5510">
        <w:rPr>
          <w:color w:val="000000" w:themeColor="text1"/>
        </w:rPr>
        <w:t>ить</w:t>
      </w:r>
      <w:r w:rsidR="00146A37">
        <w:rPr>
          <w:color w:val="000000" w:themeColor="text1"/>
        </w:rPr>
        <w:t xml:space="preserve"> околонулевой ТКЛР стеклокомпозиции, </w:t>
      </w:r>
      <w:r w:rsidR="00AE5510">
        <w:rPr>
          <w:color w:val="000000" w:themeColor="text1"/>
        </w:rPr>
        <w:t>который дает возможность</w:t>
      </w:r>
      <w:r w:rsidR="00146A37">
        <w:rPr>
          <w:color w:val="000000" w:themeColor="text1"/>
        </w:rPr>
        <w:t xml:space="preserve"> использовать ее для соединения, например, кварцевого стекла.</w:t>
      </w:r>
      <w:r>
        <w:rPr>
          <w:color w:val="000000" w:themeColor="text1"/>
        </w:rPr>
        <w:t xml:space="preserve"> </w:t>
      </w:r>
      <w:r w:rsidR="00E62F1C" w:rsidRPr="00960145">
        <w:rPr>
          <w:color w:val="000000" w:themeColor="text1"/>
        </w:rPr>
        <w:t>Обобщ</w:t>
      </w:r>
      <w:r w:rsidR="00DD0FCB" w:rsidRPr="00960145">
        <w:rPr>
          <w:color w:val="000000" w:themeColor="text1"/>
        </w:rPr>
        <w:t>ая, можно сказать</w:t>
      </w:r>
      <w:r w:rsidR="00E62F1C" w:rsidRPr="00960145">
        <w:rPr>
          <w:color w:val="000000" w:themeColor="text1"/>
        </w:rPr>
        <w:t>, что потенциал стеклоприпое</w:t>
      </w:r>
      <w:r w:rsidR="00BC3BA1" w:rsidRPr="00960145">
        <w:rPr>
          <w:color w:val="000000" w:themeColor="text1"/>
        </w:rPr>
        <w:t>чных композитов</w:t>
      </w:r>
      <w:r w:rsidR="00E62F1C" w:rsidRPr="00960145">
        <w:rPr>
          <w:color w:val="000000" w:themeColor="text1"/>
        </w:rPr>
        <w:t xml:space="preserve"> раскрыт далеко не полностью. Актуальность дальнейших исследований</w:t>
      </w:r>
      <w:r w:rsidR="00BC3BA1" w:rsidRPr="00960145">
        <w:rPr>
          <w:color w:val="000000" w:themeColor="text1"/>
        </w:rPr>
        <w:t xml:space="preserve"> определяется</w:t>
      </w:r>
      <w:r w:rsidR="00E62F1C" w:rsidRPr="00960145">
        <w:rPr>
          <w:color w:val="000000" w:themeColor="text1"/>
        </w:rPr>
        <w:t xml:space="preserve"> не только необходимостью импортозамещения и</w:t>
      </w:r>
      <w:r w:rsidR="00BC3BA1" w:rsidRPr="00960145">
        <w:rPr>
          <w:color w:val="000000" w:themeColor="text1"/>
        </w:rPr>
        <w:t>ли</w:t>
      </w:r>
      <w:r w:rsidR="00E62F1C" w:rsidRPr="00960145">
        <w:rPr>
          <w:color w:val="000000" w:themeColor="text1"/>
        </w:rPr>
        <w:t xml:space="preserve"> отказа от токсичн</w:t>
      </w:r>
      <w:r w:rsidR="00B5637B">
        <w:rPr>
          <w:color w:val="000000" w:themeColor="text1"/>
        </w:rPr>
        <w:t>ых материалов</w:t>
      </w:r>
      <w:r w:rsidR="00E62F1C" w:rsidRPr="00960145">
        <w:rPr>
          <w:color w:val="000000" w:themeColor="text1"/>
        </w:rPr>
        <w:t>, но и обнаружением новых,</w:t>
      </w:r>
      <w:r w:rsidR="00BC3BA1" w:rsidRPr="00960145">
        <w:rPr>
          <w:color w:val="000000" w:themeColor="text1"/>
        </w:rPr>
        <w:t xml:space="preserve"> неочевидных</w:t>
      </w:r>
      <w:r w:rsidR="00E62F1C" w:rsidRPr="00960145">
        <w:rPr>
          <w:color w:val="000000" w:themeColor="text1"/>
        </w:rPr>
        <w:t xml:space="preserve"> закономерностей </w:t>
      </w:r>
      <w:r w:rsidR="00DD0FCB" w:rsidRPr="00960145">
        <w:rPr>
          <w:color w:val="000000" w:themeColor="text1"/>
        </w:rPr>
        <w:t xml:space="preserve">свойств </w:t>
      </w:r>
      <w:r w:rsidR="00E62F1C" w:rsidRPr="00960145">
        <w:rPr>
          <w:color w:val="000000" w:themeColor="text1"/>
        </w:rPr>
        <w:t xml:space="preserve">в системе </w:t>
      </w:r>
      <w:r w:rsidR="00BC3BA1" w:rsidRPr="00960145">
        <w:rPr>
          <w:color w:val="000000" w:themeColor="text1"/>
        </w:rPr>
        <w:t>стеклокомпозита</w:t>
      </w:r>
      <w:r w:rsidR="00E62F1C" w:rsidRPr="00960145">
        <w:rPr>
          <w:color w:val="000000" w:themeColor="text1"/>
        </w:rPr>
        <w:t xml:space="preserve">. </w:t>
      </w:r>
      <w:r w:rsidR="0001390D" w:rsidRPr="00960145">
        <w:rPr>
          <w:color w:val="000000" w:themeColor="text1"/>
        </w:rPr>
        <w:t>Определение влияния концентрации и гранулометрии β-эвкриптита позволит расширить возможности композитных припоев по соединению материалов с низкими значениями ТКЛР</w:t>
      </w:r>
      <w:r w:rsidR="00F14466" w:rsidRPr="00660DC0">
        <w:rPr>
          <w:color w:val="000000" w:themeColor="text1"/>
        </w:rPr>
        <w:t xml:space="preserve">. </w:t>
      </w:r>
    </w:p>
    <w:p w14:paraId="2D3D8471" w14:textId="10C5C13C" w:rsidR="00362186" w:rsidRPr="00660DC0" w:rsidRDefault="00362186" w:rsidP="00660DC0">
      <w:pPr>
        <w:pStyle w:val="ds-markdown-paragraph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660DC0">
        <w:rPr>
          <w:i/>
          <w:iCs/>
          <w:color w:val="000000"/>
        </w:rPr>
        <w:t xml:space="preserve">Выражаю свою благодарность заведующему кафедрой </w:t>
      </w:r>
      <w:r w:rsidR="002E472C">
        <w:rPr>
          <w:i/>
          <w:iCs/>
          <w:color w:val="000000"/>
        </w:rPr>
        <w:t>ХТ</w:t>
      </w:r>
      <w:r w:rsidRPr="00660DC0">
        <w:rPr>
          <w:i/>
          <w:iCs/>
          <w:color w:val="000000"/>
        </w:rPr>
        <w:t xml:space="preserve">СиС профессору </w:t>
      </w:r>
      <w:r w:rsidR="00066072">
        <w:rPr>
          <w:i/>
          <w:iCs/>
          <w:color w:val="000000"/>
        </w:rPr>
        <w:br/>
      </w:r>
      <w:r w:rsidRPr="00660DC0">
        <w:rPr>
          <w:i/>
          <w:iCs/>
          <w:color w:val="000000"/>
        </w:rPr>
        <w:t xml:space="preserve">Сигаеву В.Н. и доценту кафедры </w:t>
      </w:r>
      <w:r w:rsidR="0072483E">
        <w:rPr>
          <w:i/>
          <w:iCs/>
          <w:color w:val="000000"/>
        </w:rPr>
        <w:t>ХТ</w:t>
      </w:r>
      <w:r w:rsidRPr="00660DC0">
        <w:rPr>
          <w:i/>
          <w:iCs/>
          <w:color w:val="000000"/>
        </w:rPr>
        <w:t>СиС Спиридонову Ю.А.</w:t>
      </w:r>
    </w:p>
    <w:p w14:paraId="0842F499" w14:textId="311EC588" w:rsidR="00575A48" w:rsidRPr="00660DC0" w:rsidRDefault="00624807" w:rsidP="00660D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D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14:paraId="70AB1074" w14:textId="04D18984" w:rsidR="00960145" w:rsidRPr="003F2D6E" w:rsidRDefault="00DD3369" w:rsidP="00660D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44CC2" w:rsidRPr="00660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Удинцева Я. Е., Спиридонов Ю. А., Сигаев В. Н. Микроструктура и свойства стеклоприпоечного композита в зависимости от удельной поверхности наполнителя </w:t>
      </w:r>
      <w:r w:rsidR="00F32F09" w:rsidRPr="00660DC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44CC2" w:rsidRPr="00660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титаната свинца // Стекло и керамика. 2024. Т. 97, № 9. С. 03-09. </w:t>
      </w:r>
    </w:p>
    <w:sectPr w:rsidR="00960145" w:rsidRPr="003F2D6E" w:rsidSect="00E62F1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D2BA5"/>
    <w:multiLevelType w:val="multilevel"/>
    <w:tmpl w:val="163E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BB"/>
    <w:rsid w:val="0001281D"/>
    <w:rsid w:val="0001390D"/>
    <w:rsid w:val="00066072"/>
    <w:rsid w:val="000D5F4D"/>
    <w:rsid w:val="001302D0"/>
    <w:rsid w:val="0014404D"/>
    <w:rsid w:val="00146A37"/>
    <w:rsid w:val="001B0013"/>
    <w:rsid w:val="00213B54"/>
    <w:rsid w:val="00227352"/>
    <w:rsid w:val="00286FC6"/>
    <w:rsid w:val="002A0699"/>
    <w:rsid w:val="002C27C2"/>
    <w:rsid w:val="002D3556"/>
    <w:rsid w:val="002E472C"/>
    <w:rsid w:val="00343C73"/>
    <w:rsid w:val="00346D69"/>
    <w:rsid w:val="00362186"/>
    <w:rsid w:val="00370C1F"/>
    <w:rsid w:val="00382A22"/>
    <w:rsid w:val="003B508E"/>
    <w:rsid w:val="003F2D6E"/>
    <w:rsid w:val="00441516"/>
    <w:rsid w:val="00490E0D"/>
    <w:rsid w:val="005045F9"/>
    <w:rsid w:val="0053626C"/>
    <w:rsid w:val="00575A48"/>
    <w:rsid w:val="005B730D"/>
    <w:rsid w:val="00624807"/>
    <w:rsid w:val="00627923"/>
    <w:rsid w:val="00660DC0"/>
    <w:rsid w:val="00700909"/>
    <w:rsid w:val="0072483E"/>
    <w:rsid w:val="007619B6"/>
    <w:rsid w:val="007654F5"/>
    <w:rsid w:val="007718F0"/>
    <w:rsid w:val="007851B7"/>
    <w:rsid w:val="00853635"/>
    <w:rsid w:val="00944079"/>
    <w:rsid w:val="00944CC2"/>
    <w:rsid w:val="00960145"/>
    <w:rsid w:val="009A3A5D"/>
    <w:rsid w:val="00A4785F"/>
    <w:rsid w:val="00A66463"/>
    <w:rsid w:val="00A74375"/>
    <w:rsid w:val="00A84046"/>
    <w:rsid w:val="00AC3E5E"/>
    <w:rsid w:val="00AE35BB"/>
    <w:rsid w:val="00AE5510"/>
    <w:rsid w:val="00AF0473"/>
    <w:rsid w:val="00B5637B"/>
    <w:rsid w:val="00BB73C8"/>
    <w:rsid w:val="00BC309A"/>
    <w:rsid w:val="00BC3BA1"/>
    <w:rsid w:val="00CD502B"/>
    <w:rsid w:val="00CE56B8"/>
    <w:rsid w:val="00CF0061"/>
    <w:rsid w:val="00DD0FCB"/>
    <w:rsid w:val="00DD16B9"/>
    <w:rsid w:val="00DD3369"/>
    <w:rsid w:val="00E62F1C"/>
    <w:rsid w:val="00E67F5B"/>
    <w:rsid w:val="00E721C1"/>
    <w:rsid w:val="00E77DE0"/>
    <w:rsid w:val="00F14466"/>
    <w:rsid w:val="00F32F09"/>
    <w:rsid w:val="00FC5DAC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94DE"/>
  <w15:chartTrackingRefBased/>
  <w15:docId w15:val="{D579E376-4458-4F2E-9755-F1D22292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6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2F1C"/>
    <w:rPr>
      <w:b/>
      <w:bCs/>
    </w:rPr>
  </w:style>
  <w:style w:type="character" w:styleId="a4">
    <w:name w:val="Emphasis"/>
    <w:basedOn w:val="a0"/>
    <w:uiPriority w:val="20"/>
    <w:qFormat/>
    <w:rsid w:val="00E62F1C"/>
    <w:rPr>
      <w:i/>
      <w:iCs/>
    </w:rPr>
  </w:style>
  <w:style w:type="character" w:styleId="a5">
    <w:name w:val="Hyperlink"/>
    <w:basedOn w:val="a0"/>
    <w:uiPriority w:val="99"/>
    <w:unhideWhenUsed/>
    <w:rsid w:val="00213B5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13B54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7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rikovre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Коврев Ярослав</dc:creator>
  <cp:keywords/>
  <dc:description/>
  <cp:lastModifiedBy>Коврев Ярослав</cp:lastModifiedBy>
  <cp:revision>15</cp:revision>
  <dcterms:created xsi:type="dcterms:W3CDTF">2026-03-18T16:16:00Z</dcterms:created>
  <dcterms:modified xsi:type="dcterms:W3CDTF">2026-03-19T17:52:00Z</dcterms:modified>
</cp:coreProperties>
</file>