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1DA028F" w:rsidR="00130241" w:rsidRPr="0086785E" w:rsidRDefault="00A50A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Определение </w:t>
      </w:r>
      <w:r w:rsidR="0086785E" w:rsidRPr="0086785E">
        <w:rPr>
          <w:b/>
          <w:color w:val="000000"/>
        </w:rPr>
        <w:t>термохимически</w:t>
      </w:r>
      <w:r w:rsidR="0086785E">
        <w:rPr>
          <w:b/>
          <w:color w:val="000000"/>
        </w:rPr>
        <w:t>х</w:t>
      </w:r>
      <w:r w:rsidR="0086785E" w:rsidRPr="0086785E">
        <w:rPr>
          <w:b/>
          <w:color w:val="000000"/>
        </w:rPr>
        <w:t xml:space="preserve"> параметр</w:t>
      </w:r>
      <w:r w:rsidR="0086785E">
        <w:rPr>
          <w:b/>
          <w:color w:val="000000"/>
        </w:rPr>
        <w:t>ов</w:t>
      </w:r>
      <w:r w:rsidR="0086785E" w:rsidRPr="0086785E">
        <w:rPr>
          <w:b/>
          <w:color w:val="000000"/>
        </w:rPr>
        <w:t xml:space="preserve"> фазовых переходов пролекарств на основе сульфаниламидов и ципрофлоксацина</w:t>
      </w:r>
    </w:p>
    <w:p w14:paraId="00000002" w14:textId="74F4789A" w:rsidR="00130241" w:rsidRDefault="00A50A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Италмасов</w:t>
      </w:r>
      <w:proofErr w:type="spellEnd"/>
      <w:r>
        <w:rPr>
          <w:b/>
          <w:i/>
          <w:color w:val="000000"/>
        </w:rPr>
        <w:t xml:space="preserve"> А.Р.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Нагриманов</w:t>
      </w:r>
      <w:proofErr w:type="spellEnd"/>
      <w:r>
        <w:rPr>
          <w:b/>
          <w:i/>
          <w:color w:val="000000"/>
        </w:rPr>
        <w:t xml:space="preserve"> Р.Н.</w:t>
      </w:r>
    </w:p>
    <w:p w14:paraId="00000003" w14:textId="0370321E" w:rsidR="00130241" w:rsidRDefault="00A50A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EF4579">
        <w:rPr>
          <w:i/>
          <w:color w:val="000000"/>
          <w:lang w:val="en-US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14:paraId="00000007" w14:textId="4598B6DB" w:rsidR="00130241" w:rsidRPr="009E2248" w:rsidRDefault="00391C38" w:rsidP="009E22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 xml:space="preserve">химический институт </w:t>
      </w:r>
      <w:r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14:paraId="00000008" w14:textId="48DA9CD6" w:rsidR="00130241" w:rsidRPr="0003678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 w:rsidRPr="00036785">
        <w:rPr>
          <w:i/>
          <w:color w:val="000000"/>
          <w:lang w:val="en-GB"/>
        </w:rPr>
        <w:t>E</w:t>
      </w:r>
      <w:r w:rsidR="003B76D6" w:rsidRPr="00036785">
        <w:rPr>
          <w:i/>
          <w:color w:val="000000"/>
          <w:lang w:val="en-GB"/>
        </w:rPr>
        <w:t>-</w:t>
      </w:r>
      <w:r w:rsidRPr="00036785">
        <w:rPr>
          <w:i/>
          <w:color w:val="000000"/>
          <w:lang w:val="en-GB"/>
        </w:rPr>
        <w:t xml:space="preserve">mail: </w:t>
      </w:r>
      <w:hyperlink r:id="rId6" w:history="1">
        <w:r w:rsidR="009E2248" w:rsidRPr="000F1BFE">
          <w:rPr>
            <w:rStyle w:val="a9"/>
            <w:i/>
            <w:lang w:val="en-US"/>
          </w:rPr>
          <w:t>italmasov</w:t>
        </w:r>
        <w:r w:rsidR="009E2248" w:rsidRPr="00036785">
          <w:rPr>
            <w:rStyle w:val="a9"/>
            <w:i/>
            <w:lang w:val="en-GB"/>
          </w:rPr>
          <w:t>_</w:t>
        </w:r>
        <w:r w:rsidR="009E2248" w:rsidRPr="000F1BFE">
          <w:rPr>
            <w:rStyle w:val="a9"/>
            <w:i/>
            <w:lang w:val="en-US"/>
          </w:rPr>
          <w:t>almaz</w:t>
        </w:r>
        <w:r w:rsidR="009E2248" w:rsidRPr="00036785">
          <w:rPr>
            <w:rStyle w:val="a9"/>
            <w:i/>
            <w:lang w:val="en-GB"/>
          </w:rPr>
          <w:t>@</w:t>
        </w:r>
        <w:r w:rsidR="009E2248" w:rsidRPr="000F1BFE">
          <w:rPr>
            <w:rStyle w:val="a9"/>
            <w:i/>
            <w:lang w:val="en-US"/>
          </w:rPr>
          <w:t>mail</w:t>
        </w:r>
        <w:r w:rsidR="009E2248" w:rsidRPr="00036785">
          <w:rPr>
            <w:rStyle w:val="a9"/>
            <w:i/>
            <w:lang w:val="en-GB"/>
          </w:rPr>
          <w:t>.ru</w:t>
        </w:r>
      </w:hyperlink>
      <w:r w:rsidRPr="00036785">
        <w:rPr>
          <w:i/>
          <w:color w:val="000000"/>
          <w:lang w:val="en-GB"/>
        </w:rPr>
        <w:t xml:space="preserve"> </w:t>
      </w:r>
    </w:p>
    <w:p w14:paraId="38200E18" w14:textId="322CA04D" w:rsidR="0086785E" w:rsidRPr="0015256D" w:rsidRDefault="0086785E" w:rsidP="008678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6785E">
        <w:rPr>
          <w:color w:val="000000"/>
        </w:rPr>
        <w:t>Сульфаниламиды и фторхинолоны являются важными лекарственными веществами, которые широко применяются в медицине в качестве антибактериальных препаратов широкого спектра действия. Однако согласно прогнозам ведущих международных организаций, появление и распространение бактерий, устойчивых ко всем существующим классам антибактериальных препаратов, создает условия глобального кризиса в сфере здравоохранения.</w:t>
      </w:r>
      <w:r w:rsidR="0015256D" w:rsidRPr="0015256D">
        <w:rPr>
          <w:color w:val="000000"/>
        </w:rPr>
        <w:t>[1]</w:t>
      </w:r>
    </w:p>
    <w:p w14:paraId="40C96E55" w14:textId="77777777" w:rsidR="0086785E" w:rsidRPr="0086785E" w:rsidRDefault="0086785E" w:rsidP="008678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6785E">
        <w:rPr>
          <w:color w:val="000000"/>
        </w:rPr>
        <w:t>Среди способов решения проблемы резистентности и улучшения доставки активного фармацевтического ингредиента (АФИ) можно выделить синтез пролекарств. Пролекарства, являясь неактивными производными, высвобождают АФИ в результате гидролитических процессов в организме. Для улучшения качества адресной доставки лекарственные препараты получают в аморфном состоянии, которое характеризуется лучшей растворимостью по сравнению с кристаллической формой. Выбор метода получения аморфной формы определяется термохимическими параметрами фазовых переходов вещества. Эти данные также могут быть использованы для расчета материально-теплового баланса, оценки летучести компонентов, формирования условий хранения и протоколов безопасности производств. Поэтому определение надежных данных по термохимическим параметрам фазовых переходов сульфаниламидов, фторхинолонов и пролекарств на их основе является актуальной задачей.</w:t>
      </w:r>
    </w:p>
    <w:p w14:paraId="0A9A94E4" w14:textId="77777777" w:rsidR="0086785E" w:rsidRPr="0086785E" w:rsidRDefault="0086785E" w:rsidP="008678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6785E">
        <w:rPr>
          <w:color w:val="000000"/>
        </w:rPr>
        <w:t xml:space="preserve">В настоящей работе были синтезированы и охарактеризованы девять </w:t>
      </w:r>
      <w:proofErr w:type="spellStart"/>
      <w:r w:rsidRPr="0086785E">
        <w:rPr>
          <w:color w:val="000000"/>
        </w:rPr>
        <w:t>карбаматов</w:t>
      </w:r>
      <w:proofErr w:type="spellEnd"/>
      <w:r w:rsidRPr="0086785E">
        <w:rPr>
          <w:color w:val="000000"/>
        </w:rPr>
        <w:t xml:space="preserve">: </w:t>
      </w:r>
      <w:proofErr w:type="spellStart"/>
      <w:r w:rsidRPr="0086785E">
        <w:rPr>
          <w:color w:val="000000"/>
        </w:rPr>
        <w:t>пентилфенилкарбамат</w:t>
      </w:r>
      <w:proofErr w:type="spellEnd"/>
      <w:r w:rsidRPr="0086785E">
        <w:rPr>
          <w:color w:val="000000"/>
        </w:rPr>
        <w:t xml:space="preserve">, 2-метоксиэтилфенилкарбамат, 2-этоксиэтилфенилкарбамат, 2-пропоксиэтилфенилкарбамат, сульфапиридин-2-этоксиэтилкарбамат, </w:t>
      </w:r>
      <w:proofErr w:type="spellStart"/>
      <w:r w:rsidRPr="0086785E">
        <w:rPr>
          <w:color w:val="000000"/>
        </w:rPr>
        <w:t>сульфаметизола</w:t>
      </w:r>
      <w:proofErr w:type="spellEnd"/>
      <w:r w:rsidRPr="0086785E">
        <w:rPr>
          <w:color w:val="000000"/>
        </w:rPr>
        <w:t xml:space="preserve"> </w:t>
      </w:r>
      <w:proofErr w:type="spellStart"/>
      <w:r w:rsidRPr="0086785E">
        <w:rPr>
          <w:color w:val="000000"/>
        </w:rPr>
        <w:t>пентилкарбамат</w:t>
      </w:r>
      <w:proofErr w:type="spellEnd"/>
      <w:r w:rsidRPr="0086785E">
        <w:rPr>
          <w:color w:val="000000"/>
        </w:rPr>
        <w:t>, ципрофлоксацин-2-метоксиэтилкарбамат (</w:t>
      </w:r>
      <w:proofErr w:type="spellStart"/>
      <w:r w:rsidRPr="0086785E">
        <w:rPr>
          <w:color w:val="000000"/>
        </w:rPr>
        <w:t>MeO</w:t>
      </w:r>
      <w:proofErr w:type="spellEnd"/>
      <w:r w:rsidRPr="0086785E">
        <w:rPr>
          <w:color w:val="000000"/>
        </w:rPr>
        <w:t>), ципрофлоксацин-2-этоксиэтилкарбамат (</w:t>
      </w:r>
      <w:proofErr w:type="spellStart"/>
      <w:r w:rsidRPr="0086785E">
        <w:rPr>
          <w:color w:val="000000"/>
        </w:rPr>
        <w:t>EtO</w:t>
      </w:r>
      <w:proofErr w:type="spellEnd"/>
      <w:r w:rsidRPr="0086785E">
        <w:rPr>
          <w:color w:val="000000"/>
        </w:rPr>
        <w:t>), ципрофлоксацин-2-пропоксиэтилкарбамат (</w:t>
      </w:r>
      <w:proofErr w:type="spellStart"/>
      <w:r w:rsidRPr="0086785E">
        <w:rPr>
          <w:color w:val="000000"/>
        </w:rPr>
        <w:t>PrO</w:t>
      </w:r>
      <w:proofErr w:type="spellEnd"/>
      <w:r w:rsidRPr="0086785E">
        <w:rPr>
          <w:color w:val="000000"/>
        </w:rPr>
        <w:t>) и ципрофлоксацин-2-бутоксиэтилкарбамат (</w:t>
      </w:r>
      <w:proofErr w:type="spellStart"/>
      <w:r w:rsidRPr="0086785E">
        <w:rPr>
          <w:color w:val="000000"/>
        </w:rPr>
        <w:t>BuO</w:t>
      </w:r>
      <w:proofErr w:type="spellEnd"/>
      <w:r w:rsidRPr="0086785E">
        <w:rPr>
          <w:color w:val="000000"/>
        </w:rPr>
        <w:t>). Для этих соединений был определен полный набор экспериментальных параметров, включая термическую стабильность, удельную теплоемкость, давление пара, а также энтальпию плавления и растворения в ацетоне.</w:t>
      </w:r>
    </w:p>
    <w:p w14:paraId="1EAC875E" w14:textId="5BCFF6F7" w:rsidR="00A436D0" w:rsidRPr="00A436D0" w:rsidRDefault="0086785E" w:rsidP="008678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6785E">
        <w:rPr>
          <w:color w:val="000000"/>
        </w:rPr>
        <w:t xml:space="preserve">С помощью метода дифференциальной сканирующей калориметрии были определены температурные зависимости </w:t>
      </w:r>
      <w:r w:rsidR="0092434C">
        <w:rPr>
          <w:color w:val="000000"/>
        </w:rPr>
        <w:t>изобарной молярной</w:t>
      </w:r>
      <w:r w:rsidRPr="0086785E">
        <w:rPr>
          <w:color w:val="000000"/>
        </w:rPr>
        <w:t xml:space="preserve"> теплоемкости вещества в твердом состоянии. Для определения давления насыщенного пара, </w:t>
      </w:r>
      <w:r w:rsidR="0092434C">
        <w:rPr>
          <w:color w:val="000000"/>
        </w:rPr>
        <w:t>изобарной молярной</w:t>
      </w:r>
      <w:r w:rsidRPr="0086785E">
        <w:rPr>
          <w:color w:val="000000"/>
        </w:rPr>
        <w:t xml:space="preserve"> теплоемкости вещества в жидком состоянии, энтальпии сублимации, испарения и плавления исследуемых соединений был использован метод сверхбыстрой калориметрии. Для </w:t>
      </w:r>
      <w:proofErr w:type="spellStart"/>
      <w:r w:rsidRPr="0086785E">
        <w:rPr>
          <w:color w:val="000000"/>
        </w:rPr>
        <w:t>сульфапиридина</w:t>
      </w:r>
      <w:proofErr w:type="spellEnd"/>
      <w:r w:rsidRPr="0086785E">
        <w:rPr>
          <w:color w:val="000000"/>
        </w:rPr>
        <w:t xml:space="preserve">, сульфапиридин-2-этоксиэтилкарбамата и </w:t>
      </w:r>
      <w:proofErr w:type="spellStart"/>
      <w:r w:rsidRPr="0086785E">
        <w:rPr>
          <w:color w:val="000000"/>
        </w:rPr>
        <w:t>сульфаметизола</w:t>
      </w:r>
      <w:proofErr w:type="spellEnd"/>
      <w:r w:rsidRPr="0086785E">
        <w:rPr>
          <w:color w:val="000000"/>
        </w:rPr>
        <w:t xml:space="preserve"> </w:t>
      </w:r>
      <w:proofErr w:type="spellStart"/>
      <w:r w:rsidRPr="0086785E">
        <w:rPr>
          <w:color w:val="000000"/>
        </w:rPr>
        <w:t>пентилкарбамата</w:t>
      </w:r>
      <w:proofErr w:type="spellEnd"/>
      <w:r w:rsidRPr="0086785E">
        <w:rPr>
          <w:color w:val="000000"/>
        </w:rPr>
        <w:t xml:space="preserve"> энтальпии сублимации также были независимо определены с использованием метода калориметрии растворения. Также в ходе работы были определены значения минимальной подавляющей концентрации (МПК) гидрохлорида ципрофлоксацина и синтезированных пролекарств по отношению к золотистому стафилококку. МПК для производных </w:t>
      </w:r>
      <w:proofErr w:type="spellStart"/>
      <w:r w:rsidRPr="0086785E">
        <w:rPr>
          <w:color w:val="000000"/>
        </w:rPr>
        <w:t>MeO</w:t>
      </w:r>
      <w:proofErr w:type="spellEnd"/>
      <w:r w:rsidRPr="0086785E">
        <w:rPr>
          <w:color w:val="000000"/>
        </w:rPr>
        <w:t xml:space="preserve">, </w:t>
      </w:r>
      <w:proofErr w:type="spellStart"/>
      <w:r w:rsidRPr="0086785E">
        <w:rPr>
          <w:color w:val="000000"/>
        </w:rPr>
        <w:t>EtO</w:t>
      </w:r>
      <w:proofErr w:type="spellEnd"/>
      <w:r w:rsidRPr="0086785E">
        <w:rPr>
          <w:color w:val="000000"/>
        </w:rPr>
        <w:t xml:space="preserve"> и </w:t>
      </w:r>
      <w:proofErr w:type="spellStart"/>
      <w:r w:rsidRPr="0086785E">
        <w:rPr>
          <w:color w:val="000000"/>
        </w:rPr>
        <w:t>PrO</w:t>
      </w:r>
      <w:proofErr w:type="spellEnd"/>
      <w:r w:rsidRPr="0086785E">
        <w:rPr>
          <w:color w:val="000000"/>
        </w:rPr>
        <w:t xml:space="preserve"> в два раза меньше, чем у гидрохлорида ципрофлоксацина и </w:t>
      </w:r>
      <w:proofErr w:type="spellStart"/>
      <w:r w:rsidRPr="0086785E">
        <w:rPr>
          <w:color w:val="000000"/>
        </w:rPr>
        <w:t>BuO</w:t>
      </w:r>
      <w:proofErr w:type="spellEnd"/>
      <w:r w:rsidRPr="0086785E">
        <w:rPr>
          <w:color w:val="000000"/>
        </w:rPr>
        <w:t xml:space="preserve"> производного</w:t>
      </w:r>
      <w:r w:rsidR="00115A1C">
        <w:rPr>
          <w:color w:val="000000"/>
        </w:rPr>
        <w:t>.</w:t>
      </w:r>
    </w:p>
    <w:p w14:paraId="4E3B1E8B" w14:textId="679E77A2" w:rsidR="009E2248" w:rsidRPr="00A50A8E" w:rsidRDefault="009E2248" w:rsidP="009E22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50A8E">
        <w:rPr>
          <w:i/>
          <w:iCs/>
          <w:color w:val="000000"/>
        </w:rPr>
        <w:t xml:space="preserve">Работа выполнена при поддержке программы РНФ № </w:t>
      </w:r>
      <w:r w:rsidR="00A50A8E" w:rsidRPr="00A50A8E">
        <w:rPr>
          <w:i/>
          <w:iCs/>
          <w:color w:val="000000"/>
        </w:rPr>
        <w:t>24-73-10128.</w:t>
      </w:r>
    </w:p>
    <w:p w14:paraId="4D0F8F04" w14:textId="7B4A8393" w:rsidR="009E2248" w:rsidRPr="00036785" w:rsidRDefault="00A50A8E" w:rsidP="00A50A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</w:t>
      </w:r>
      <w:r w:rsidR="009E2248" w:rsidRPr="00A50A8E">
        <w:rPr>
          <w:b/>
          <w:color w:val="000000"/>
        </w:rPr>
        <w:t>итератур</w:t>
      </w:r>
      <w:r>
        <w:rPr>
          <w:b/>
          <w:color w:val="000000"/>
        </w:rPr>
        <w:t>а</w:t>
      </w:r>
    </w:p>
    <w:p w14:paraId="3486C755" w14:textId="72A9A6DE" w:rsidR="00116478" w:rsidRPr="0092434C" w:rsidRDefault="0015256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5256D">
        <w:rPr>
          <w:color w:val="000000"/>
          <w:lang w:val="en-GB"/>
        </w:rPr>
        <w:t xml:space="preserve">1. </w:t>
      </w:r>
      <w:proofErr w:type="spellStart"/>
      <w:r w:rsidRPr="0015256D">
        <w:rPr>
          <w:color w:val="000000"/>
          <w:lang w:val="en-GB"/>
        </w:rPr>
        <w:t>Naghavi</w:t>
      </w:r>
      <w:proofErr w:type="spellEnd"/>
      <w:r w:rsidRPr="0015256D">
        <w:rPr>
          <w:color w:val="000000"/>
          <w:lang w:val="en-GB"/>
        </w:rPr>
        <w:t xml:space="preserve"> M. et al. Global burden of bacterial antimicrobial resistance 1990–2021: a systematic analysis with forecasts to 2050 //The Lancet. 2024. </w:t>
      </w:r>
      <w:r w:rsidR="00752AA0">
        <w:rPr>
          <w:color w:val="000000"/>
          <w:lang w:val="en-GB"/>
        </w:rPr>
        <w:t>V</w:t>
      </w:r>
      <w:r w:rsidRPr="0015256D">
        <w:rPr>
          <w:color w:val="000000"/>
          <w:lang w:val="en-GB"/>
        </w:rPr>
        <w:t xml:space="preserve">. 404. №. 10459. </w:t>
      </w:r>
      <w:r w:rsidR="00752AA0">
        <w:rPr>
          <w:color w:val="000000"/>
          <w:lang w:val="en-GB"/>
        </w:rPr>
        <w:t>P</w:t>
      </w:r>
      <w:r w:rsidRPr="0015256D">
        <w:rPr>
          <w:color w:val="000000"/>
          <w:lang w:val="en-GB"/>
        </w:rPr>
        <w:t>. 1199-1226.</w:t>
      </w:r>
    </w:p>
    <w:sectPr w:rsidR="00116478" w:rsidRPr="0092434C" w:rsidSect="00EF457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533814">
    <w:abstractNumId w:val="2"/>
  </w:num>
  <w:num w:numId="2" w16cid:durableId="1977948092">
    <w:abstractNumId w:val="3"/>
  </w:num>
  <w:num w:numId="3" w16cid:durableId="115107371">
    <w:abstractNumId w:val="1"/>
  </w:num>
  <w:num w:numId="4" w16cid:durableId="109343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36785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15FD"/>
    <w:rsid w:val="00115A1C"/>
    <w:rsid w:val="00116478"/>
    <w:rsid w:val="00130241"/>
    <w:rsid w:val="0015256D"/>
    <w:rsid w:val="001732E6"/>
    <w:rsid w:val="001E61C2"/>
    <w:rsid w:val="001F0493"/>
    <w:rsid w:val="001F058A"/>
    <w:rsid w:val="0022260A"/>
    <w:rsid w:val="002264EE"/>
    <w:rsid w:val="0023307C"/>
    <w:rsid w:val="00264929"/>
    <w:rsid w:val="0031361E"/>
    <w:rsid w:val="00391C38"/>
    <w:rsid w:val="003B76D6"/>
    <w:rsid w:val="003E2601"/>
    <w:rsid w:val="003E5356"/>
    <w:rsid w:val="003F4E6B"/>
    <w:rsid w:val="004A26A3"/>
    <w:rsid w:val="004F0EDF"/>
    <w:rsid w:val="00522BF1"/>
    <w:rsid w:val="0057636A"/>
    <w:rsid w:val="0058002F"/>
    <w:rsid w:val="00590166"/>
    <w:rsid w:val="005D022B"/>
    <w:rsid w:val="005E5BE9"/>
    <w:rsid w:val="0069427D"/>
    <w:rsid w:val="006C4272"/>
    <w:rsid w:val="006F7A19"/>
    <w:rsid w:val="007213E1"/>
    <w:rsid w:val="00752AA0"/>
    <w:rsid w:val="00775389"/>
    <w:rsid w:val="007964D5"/>
    <w:rsid w:val="00797838"/>
    <w:rsid w:val="007C36D8"/>
    <w:rsid w:val="007E5FD0"/>
    <w:rsid w:val="007F2744"/>
    <w:rsid w:val="0086785E"/>
    <w:rsid w:val="008931BE"/>
    <w:rsid w:val="008C67E3"/>
    <w:rsid w:val="00914205"/>
    <w:rsid w:val="00921D45"/>
    <w:rsid w:val="0092434C"/>
    <w:rsid w:val="009426C0"/>
    <w:rsid w:val="00980A65"/>
    <w:rsid w:val="009A66DB"/>
    <w:rsid w:val="009B2F80"/>
    <w:rsid w:val="009B3300"/>
    <w:rsid w:val="009E2248"/>
    <w:rsid w:val="009F3380"/>
    <w:rsid w:val="00A02163"/>
    <w:rsid w:val="00A314FE"/>
    <w:rsid w:val="00A436D0"/>
    <w:rsid w:val="00A50A8E"/>
    <w:rsid w:val="00A54D64"/>
    <w:rsid w:val="00A737C3"/>
    <w:rsid w:val="00AD7380"/>
    <w:rsid w:val="00BF36F8"/>
    <w:rsid w:val="00BF4622"/>
    <w:rsid w:val="00C844E2"/>
    <w:rsid w:val="00CD00B1"/>
    <w:rsid w:val="00D22306"/>
    <w:rsid w:val="00D42542"/>
    <w:rsid w:val="00D51846"/>
    <w:rsid w:val="00D8121C"/>
    <w:rsid w:val="00E22189"/>
    <w:rsid w:val="00E74069"/>
    <w:rsid w:val="00E81D35"/>
    <w:rsid w:val="00EB1F49"/>
    <w:rsid w:val="00EF4579"/>
    <w:rsid w:val="00F865B3"/>
    <w:rsid w:val="00F943E8"/>
    <w:rsid w:val="00FB1509"/>
    <w:rsid w:val="00FD114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4C50C820-EBB5-47CB-B061-009DD905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talmasov_alma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86021A-5B58-4C8F-AB2C-ECE55F56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FSC</dc:creator>
  <cp:lastModifiedBy>Абдуллин Альберт Радикович</cp:lastModifiedBy>
  <cp:revision>2</cp:revision>
  <dcterms:created xsi:type="dcterms:W3CDTF">2026-03-02T16:24:00Z</dcterms:created>
  <dcterms:modified xsi:type="dcterms:W3CDTF">2026-03-02T16:24:00Z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