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44D452B" w:rsidR="00130241" w:rsidRPr="00E35695" w:rsidRDefault="00E35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Уточнение фазовых диаграмм систем </w:t>
      </w:r>
      <w:r>
        <w:rPr>
          <w:b/>
          <w:color w:val="000000"/>
          <w:lang w:val="en-US"/>
        </w:rPr>
        <w:t>U</w:t>
      </w:r>
      <w:r w:rsidRPr="00E35695">
        <w:rPr>
          <w:b/>
          <w:color w:val="000000"/>
        </w:rPr>
        <w:t>-</w:t>
      </w:r>
      <w:r>
        <w:rPr>
          <w:b/>
          <w:color w:val="000000"/>
          <w:lang w:val="en-US"/>
        </w:rPr>
        <w:t>Ru</w:t>
      </w:r>
      <w:r w:rsidRPr="00E35695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U</w:t>
      </w:r>
      <w:r w:rsidRPr="00E35695">
        <w:rPr>
          <w:b/>
          <w:color w:val="000000"/>
        </w:rPr>
        <w:t>-</w:t>
      </w:r>
      <w:r>
        <w:rPr>
          <w:b/>
          <w:color w:val="000000"/>
          <w:lang w:val="en-US"/>
        </w:rPr>
        <w:t>Rh</w:t>
      </w:r>
    </w:p>
    <w:p w14:paraId="00000002" w14:textId="59F0BBD0" w:rsidR="00130241" w:rsidRPr="00E35695" w:rsidRDefault="00E35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Волгин М.И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Неволин Ю.М.</w:t>
      </w:r>
    </w:p>
    <w:p w14:paraId="00000003" w14:textId="3369A264" w:rsidR="00130241" w:rsidRDefault="00E35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00000007" w14:textId="1568038A" w:rsidR="00130241" w:rsidRPr="00E35695" w:rsidRDefault="00E35695" w:rsidP="00E35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35695">
        <w:rPr>
          <w:i/>
          <w:color w:val="000000"/>
        </w:rPr>
        <w:t>ИФХЭ РАН, Россия 119071, г. Москва, Ленинский проспект, д.31, корп. 4;</w:t>
      </w:r>
    </w:p>
    <w:p w14:paraId="00000008" w14:textId="6A22436B" w:rsidR="00130241" w:rsidRPr="008467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E35695">
        <w:rPr>
          <w:i/>
          <w:color w:val="000000"/>
          <w:u w:val="single"/>
          <w:lang w:val="en-US"/>
        </w:rPr>
        <w:t>forfschool</w:t>
      </w:r>
      <w:proofErr w:type="spellEnd"/>
      <w:r w:rsidR="00E35695" w:rsidRPr="008467D8">
        <w:rPr>
          <w:i/>
          <w:color w:val="000000"/>
          <w:u w:val="single"/>
        </w:rPr>
        <w:t>@</w:t>
      </w:r>
      <w:r w:rsidR="00E35695">
        <w:rPr>
          <w:i/>
          <w:color w:val="000000"/>
          <w:u w:val="single"/>
          <w:lang w:val="en-US"/>
        </w:rPr>
        <w:t>mail</w:t>
      </w:r>
      <w:r w:rsidR="00E35695" w:rsidRPr="008467D8">
        <w:rPr>
          <w:i/>
          <w:color w:val="000000"/>
          <w:u w:val="single"/>
        </w:rPr>
        <w:t>.</w:t>
      </w:r>
      <w:proofErr w:type="spellStart"/>
      <w:r w:rsidR="00E35695">
        <w:rPr>
          <w:i/>
          <w:color w:val="000000"/>
          <w:u w:val="single"/>
          <w:lang w:val="en-US"/>
        </w:rPr>
        <w:t>ru</w:t>
      </w:r>
      <w:proofErr w:type="spellEnd"/>
    </w:p>
    <w:p w14:paraId="13E0FF87" w14:textId="77777777" w:rsidR="008467D8" w:rsidRPr="008467D8" w:rsidRDefault="008467D8" w:rsidP="00846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67D8">
        <w:rPr>
          <w:color w:val="000000"/>
        </w:rPr>
        <w:t xml:space="preserve">В ходе работы ядерного реактора в ядерном топливе нарабатываются продукты деления, которые в зависимости от своей природы могут либо встраиваться в матрицу топлива с образованием твёрдых растворов, либо образовывать новые фазы. Считается, что в перспективном топливе для реакторов на быстрых нейтронах – смешанном </w:t>
      </w:r>
      <w:proofErr w:type="spellStart"/>
      <w:r w:rsidRPr="008467D8">
        <w:rPr>
          <w:color w:val="000000"/>
        </w:rPr>
        <w:t>мононитриде</w:t>
      </w:r>
      <w:proofErr w:type="spellEnd"/>
      <w:r w:rsidRPr="008467D8">
        <w:rPr>
          <w:color w:val="000000"/>
        </w:rPr>
        <w:t xml:space="preserve"> урана с плутонием (</w:t>
      </w:r>
      <w:proofErr w:type="gramStart"/>
      <w:r w:rsidRPr="008467D8">
        <w:rPr>
          <w:color w:val="000000"/>
          <w:lang w:val="en-US"/>
        </w:rPr>
        <w:t>U</w:t>
      </w:r>
      <w:r w:rsidRPr="008467D8">
        <w:rPr>
          <w:color w:val="000000"/>
        </w:rPr>
        <w:t>,</w:t>
      </w:r>
      <w:r w:rsidRPr="008467D8">
        <w:rPr>
          <w:color w:val="000000"/>
          <w:lang w:val="en-US"/>
        </w:rPr>
        <w:t>Pu</w:t>
      </w:r>
      <w:proofErr w:type="gramEnd"/>
      <w:r w:rsidRPr="008467D8">
        <w:rPr>
          <w:color w:val="000000"/>
        </w:rPr>
        <w:t>)</w:t>
      </w:r>
      <w:r w:rsidRPr="008467D8">
        <w:rPr>
          <w:color w:val="000000"/>
          <w:lang w:val="en-US"/>
        </w:rPr>
        <w:t>N</w:t>
      </w:r>
      <w:r w:rsidRPr="008467D8">
        <w:rPr>
          <w:color w:val="000000"/>
        </w:rPr>
        <w:t xml:space="preserve"> – одной из таких новых фаз является </w:t>
      </w:r>
      <w:proofErr w:type="spellStart"/>
      <w:r w:rsidRPr="008467D8">
        <w:rPr>
          <w:color w:val="000000"/>
        </w:rPr>
        <w:t>интерметаллид</w:t>
      </w:r>
      <w:proofErr w:type="spellEnd"/>
      <w:r w:rsidRPr="008467D8">
        <w:rPr>
          <w:color w:val="000000"/>
        </w:rPr>
        <w:t xml:space="preserve">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</w:rPr>
        <w:t>(БМ)</w:t>
      </w:r>
      <w:r w:rsidRPr="00AD6F61">
        <w:rPr>
          <w:color w:val="000000"/>
          <w:vertAlign w:val="subscript"/>
        </w:rPr>
        <w:t>3</w:t>
      </w:r>
      <w:r w:rsidRPr="008467D8">
        <w:rPr>
          <w:color w:val="000000"/>
        </w:rPr>
        <w:t xml:space="preserve">, где БМ – </w:t>
      </w:r>
      <w:r w:rsidRPr="008467D8">
        <w:rPr>
          <w:color w:val="000000"/>
          <w:lang w:val="en-US"/>
        </w:rPr>
        <w:t>Ru</w:t>
      </w:r>
      <w:r w:rsidRPr="008467D8">
        <w:rPr>
          <w:color w:val="000000"/>
        </w:rPr>
        <w:t xml:space="preserve">, </w:t>
      </w:r>
      <w:r w:rsidRPr="008467D8">
        <w:rPr>
          <w:color w:val="000000"/>
          <w:lang w:val="en-US"/>
        </w:rPr>
        <w:t>Rh</w:t>
      </w:r>
      <w:r w:rsidRPr="008467D8">
        <w:rPr>
          <w:color w:val="000000"/>
        </w:rPr>
        <w:t xml:space="preserve">, </w:t>
      </w:r>
      <w:proofErr w:type="spellStart"/>
      <w:r w:rsidRPr="008467D8">
        <w:rPr>
          <w:color w:val="000000"/>
          <w:lang w:val="en-US"/>
        </w:rPr>
        <w:t>Pd</w:t>
      </w:r>
      <w:proofErr w:type="spellEnd"/>
      <w:r w:rsidRPr="008467D8">
        <w:rPr>
          <w:color w:val="000000"/>
        </w:rPr>
        <w:t>.</w:t>
      </w:r>
    </w:p>
    <w:p w14:paraId="39B79232" w14:textId="5CA004F7" w:rsidR="008467D8" w:rsidRPr="008467D8" w:rsidRDefault="008467D8" w:rsidP="00846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67D8">
        <w:rPr>
          <w:color w:val="000000"/>
        </w:rPr>
        <w:t xml:space="preserve">Поскольку на текущий момент экспериментальные исследования </w:t>
      </w:r>
      <w:proofErr w:type="gramStart"/>
      <w:r w:rsidRPr="008467D8">
        <w:rPr>
          <w:color w:val="000000"/>
        </w:rPr>
        <w:t>фазового состава</w:t>
      </w:r>
      <w:proofErr w:type="gramEnd"/>
      <w:r w:rsidRPr="008467D8">
        <w:rPr>
          <w:color w:val="000000"/>
        </w:rPr>
        <w:t xml:space="preserve"> отработавшего нитридного ядерного топлива (ОЯТ) достаточно скудны, для прогнозирования состава такого ОЯТ часто используют термодинамическое моделирование. Однако, большая часть опорных данных для </w:t>
      </w:r>
      <w:r w:rsidR="00AD6F61">
        <w:rPr>
          <w:color w:val="000000"/>
        </w:rPr>
        <w:t>бинарных</w:t>
      </w:r>
      <w:r w:rsidRPr="008467D8">
        <w:rPr>
          <w:color w:val="000000"/>
        </w:rPr>
        <w:t xml:space="preserve"> систем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</w:rPr>
        <w:t>-</w:t>
      </w:r>
      <w:r w:rsidRPr="008467D8">
        <w:rPr>
          <w:color w:val="000000"/>
          <w:lang w:val="en-US"/>
        </w:rPr>
        <w:t>Ru</w:t>
      </w:r>
      <w:r w:rsidRPr="008467D8">
        <w:rPr>
          <w:color w:val="000000"/>
        </w:rPr>
        <w:t xml:space="preserve"> и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</w:rPr>
        <w:t>-</w:t>
      </w:r>
      <w:r w:rsidRPr="008467D8">
        <w:rPr>
          <w:color w:val="000000"/>
          <w:lang w:val="en-US"/>
        </w:rPr>
        <w:t>Rh</w:t>
      </w:r>
      <w:r w:rsidRPr="008467D8">
        <w:rPr>
          <w:color w:val="000000"/>
        </w:rPr>
        <w:t xml:space="preserve">, которые необходимы для моделирования системы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</w:rPr>
        <w:t>(БМ)</w:t>
      </w:r>
      <w:r w:rsidRPr="008467D8">
        <w:rPr>
          <w:color w:val="000000"/>
          <w:vertAlign w:val="subscript"/>
        </w:rPr>
        <w:t>3</w:t>
      </w:r>
      <w:r w:rsidRPr="008467D8">
        <w:rPr>
          <w:color w:val="000000"/>
        </w:rPr>
        <w:t>, берёт своё начало в нескольких публикаци</w:t>
      </w:r>
      <w:r>
        <w:rPr>
          <w:color w:val="000000"/>
        </w:rPr>
        <w:t>ях конца шестидесятых годов [1,</w:t>
      </w:r>
      <w:r w:rsidRPr="008467D8">
        <w:rPr>
          <w:color w:val="000000"/>
        </w:rPr>
        <w:t xml:space="preserve">2], посвящённых этим </w:t>
      </w:r>
      <w:r w:rsidR="00AD6F61">
        <w:rPr>
          <w:color w:val="000000"/>
        </w:rPr>
        <w:t>сплавам</w:t>
      </w:r>
      <w:r w:rsidRPr="008467D8">
        <w:rPr>
          <w:color w:val="000000"/>
        </w:rPr>
        <w:t>.</w:t>
      </w:r>
    </w:p>
    <w:p w14:paraId="52704BD3" w14:textId="55EE501F" w:rsidR="008467D8" w:rsidRPr="008467D8" w:rsidRDefault="008467D8" w:rsidP="00846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67D8">
        <w:rPr>
          <w:color w:val="000000"/>
        </w:rPr>
        <w:t xml:space="preserve">На основании термического анализа, металлографии и РФА авторами [1,2] в системах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</w:rPr>
        <w:t>-</w:t>
      </w:r>
      <w:r w:rsidRPr="008467D8">
        <w:rPr>
          <w:color w:val="000000"/>
          <w:lang w:val="en-US"/>
        </w:rPr>
        <w:t>Ru</w:t>
      </w:r>
      <w:r w:rsidRPr="008467D8">
        <w:rPr>
          <w:color w:val="000000"/>
        </w:rPr>
        <w:t xml:space="preserve"> и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</w:rPr>
        <w:t>-</w:t>
      </w:r>
      <w:r w:rsidRPr="008467D8">
        <w:rPr>
          <w:color w:val="000000"/>
          <w:lang w:val="en-US"/>
        </w:rPr>
        <w:t>Rh</w:t>
      </w:r>
      <w:r w:rsidRPr="008467D8">
        <w:rPr>
          <w:color w:val="000000"/>
        </w:rPr>
        <w:t xml:space="preserve"> установлено наличие ряда интерметаллических соединений: </w:t>
      </w:r>
      <w:proofErr w:type="spellStart"/>
      <w:r w:rsidRPr="008467D8">
        <w:rPr>
          <w:color w:val="000000"/>
          <w:lang w:val="en-US"/>
        </w:rPr>
        <w:t>URu</w:t>
      </w:r>
      <w:proofErr w:type="spellEnd"/>
      <w:r w:rsidRPr="008467D8">
        <w:rPr>
          <w:color w:val="000000"/>
          <w:vertAlign w:val="subscript"/>
        </w:rPr>
        <w:t>3</w:t>
      </w:r>
      <w:r w:rsidRPr="008467D8">
        <w:rPr>
          <w:color w:val="000000"/>
        </w:rPr>
        <w:t xml:space="preserve">,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3</w:t>
      </w:r>
      <w:r w:rsidRPr="008467D8">
        <w:rPr>
          <w:color w:val="000000"/>
          <w:lang w:val="en-US"/>
        </w:rPr>
        <w:t>Ru</w:t>
      </w:r>
      <w:r w:rsidRPr="008467D8">
        <w:rPr>
          <w:color w:val="000000"/>
          <w:vertAlign w:val="subscript"/>
        </w:rPr>
        <w:t>5</w:t>
      </w:r>
      <w:r w:rsidRPr="008467D8">
        <w:rPr>
          <w:color w:val="000000"/>
        </w:rPr>
        <w:t xml:space="preserve">,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3</w:t>
      </w:r>
      <w:r w:rsidRPr="008467D8">
        <w:rPr>
          <w:color w:val="000000"/>
          <w:lang w:val="en-US"/>
        </w:rPr>
        <w:t>Ru</w:t>
      </w:r>
      <w:r w:rsidRPr="008467D8">
        <w:rPr>
          <w:color w:val="000000"/>
          <w:vertAlign w:val="subscript"/>
        </w:rPr>
        <w:t>4</w:t>
      </w:r>
      <w:r w:rsidRPr="008467D8">
        <w:rPr>
          <w:color w:val="000000"/>
        </w:rPr>
        <w:t xml:space="preserve">, </w:t>
      </w:r>
      <w:proofErr w:type="spellStart"/>
      <w:r w:rsidRPr="008467D8">
        <w:rPr>
          <w:color w:val="000000"/>
          <w:lang w:val="en-US"/>
        </w:rPr>
        <w:t>URu</w:t>
      </w:r>
      <w:proofErr w:type="spellEnd"/>
      <w:r w:rsidRPr="008467D8">
        <w:rPr>
          <w:color w:val="000000"/>
        </w:rPr>
        <w:t xml:space="preserve">, </w:t>
      </w:r>
      <w:proofErr w:type="gramStart"/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2</w:t>
      </w:r>
      <w:r w:rsidRPr="008467D8">
        <w:rPr>
          <w:color w:val="000000"/>
          <w:lang w:val="en-US"/>
        </w:rPr>
        <w:t>Ru</w:t>
      </w:r>
      <w:proofErr w:type="gramEnd"/>
      <w:r w:rsidRPr="008467D8">
        <w:rPr>
          <w:color w:val="000000"/>
        </w:rPr>
        <w:t xml:space="preserve"> а также </w:t>
      </w:r>
      <w:proofErr w:type="spellStart"/>
      <w:r w:rsidRPr="008467D8">
        <w:rPr>
          <w:color w:val="000000"/>
          <w:lang w:val="en-US"/>
        </w:rPr>
        <w:t>URh</w:t>
      </w:r>
      <w:proofErr w:type="spellEnd"/>
      <w:r w:rsidRPr="008467D8">
        <w:rPr>
          <w:color w:val="000000"/>
          <w:vertAlign w:val="subscript"/>
        </w:rPr>
        <w:t>3</w:t>
      </w:r>
      <w:r w:rsidRPr="008467D8">
        <w:rPr>
          <w:color w:val="000000"/>
        </w:rPr>
        <w:t xml:space="preserve">,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3</w:t>
      </w:r>
      <w:r w:rsidRPr="008467D8">
        <w:rPr>
          <w:color w:val="000000"/>
          <w:lang w:val="en-US"/>
        </w:rPr>
        <w:t>Rh</w:t>
      </w:r>
      <w:r w:rsidRPr="008467D8">
        <w:rPr>
          <w:color w:val="000000"/>
          <w:vertAlign w:val="subscript"/>
        </w:rPr>
        <w:t>5</w:t>
      </w:r>
      <w:r w:rsidRPr="008467D8">
        <w:rPr>
          <w:color w:val="000000"/>
        </w:rPr>
        <w:t xml:space="preserve">,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3</w:t>
      </w:r>
      <w:r w:rsidRPr="008467D8">
        <w:rPr>
          <w:color w:val="000000"/>
          <w:lang w:val="en-US"/>
        </w:rPr>
        <w:t>Rh</w:t>
      </w:r>
      <w:r w:rsidRPr="008467D8">
        <w:rPr>
          <w:color w:val="000000"/>
          <w:vertAlign w:val="subscript"/>
        </w:rPr>
        <w:t>4</w:t>
      </w:r>
      <w:r w:rsidRPr="008467D8">
        <w:rPr>
          <w:color w:val="000000"/>
        </w:rPr>
        <w:t xml:space="preserve"> и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4</w:t>
      </w:r>
      <w:r w:rsidRPr="008467D8">
        <w:rPr>
          <w:color w:val="000000"/>
          <w:lang w:val="en-US"/>
        </w:rPr>
        <w:t>Rh</w:t>
      </w:r>
      <w:r w:rsidRPr="008467D8">
        <w:rPr>
          <w:color w:val="000000"/>
          <w:vertAlign w:val="subscript"/>
        </w:rPr>
        <w:t>3</w:t>
      </w:r>
      <w:r w:rsidRPr="008467D8">
        <w:rPr>
          <w:color w:val="000000"/>
        </w:rPr>
        <w:t xml:space="preserve">. Однако к настоящему моменту известны кристаллические структуры лишь для </w:t>
      </w:r>
      <w:proofErr w:type="spellStart"/>
      <w:r w:rsidRPr="008467D8">
        <w:rPr>
          <w:color w:val="000000"/>
          <w:lang w:val="en-US"/>
        </w:rPr>
        <w:t>URu</w:t>
      </w:r>
      <w:proofErr w:type="spellEnd"/>
      <w:r w:rsidRPr="008467D8">
        <w:rPr>
          <w:color w:val="000000"/>
          <w:vertAlign w:val="subscript"/>
        </w:rPr>
        <w:t>3</w:t>
      </w:r>
      <w:r w:rsidRPr="008467D8">
        <w:rPr>
          <w:color w:val="000000"/>
        </w:rPr>
        <w:t xml:space="preserve">,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2</w:t>
      </w:r>
      <w:r w:rsidRPr="008467D8">
        <w:rPr>
          <w:color w:val="000000"/>
          <w:lang w:val="en-US"/>
        </w:rPr>
        <w:t>Ru</w:t>
      </w:r>
      <w:r w:rsidRPr="008467D8">
        <w:rPr>
          <w:color w:val="000000"/>
        </w:rPr>
        <w:t xml:space="preserve">, </w:t>
      </w:r>
      <w:proofErr w:type="spellStart"/>
      <w:r w:rsidRPr="008467D8">
        <w:rPr>
          <w:color w:val="000000"/>
          <w:lang w:val="en-US"/>
        </w:rPr>
        <w:t>URh</w:t>
      </w:r>
      <w:proofErr w:type="spellEnd"/>
      <w:r w:rsidRPr="008467D8">
        <w:rPr>
          <w:color w:val="000000"/>
          <w:vertAlign w:val="subscript"/>
        </w:rPr>
        <w:t>3</w:t>
      </w:r>
      <w:r w:rsidRPr="008467D8">
        <w:rPr>
          <w:color w:val="000000"/>
        </w:rPr>
        <w:t xml:space="preserve">. </w:t>
      </w:r>
      <w:r w:rsidR="00AD6F61">
        <w:rPr>
          <w:color w:val="000000"/>
        </w:rPr>
        <w:t xml:space="preserve">При этом в базе данных порошковых </w:t>
      </w:r>
      <w:proofErr w:type="spellStart"/>
      <w:r w:rsidR="00AD6F61">
        <w:rPr>
          <w:color w:val="000000"/>
        </w:rPr>
        <w:t>дифрактограмм</w:t>
      </w:r>
      <w:proofErr w:type="spellEnd"/>
      <w:r w:rsidR="00AD6F61">
        <w:rPr>
          <w:color w:val="000000"/>
        </w:rPr>
        <w:t xml:space="preserve"> есть соединения </w:t>
      </w:r>
      <w:r w:rsidR="00AD6F61">
        <w:rPr>
          <w:color w:val="000000"/>
          <w:lang w:val="en-US"/>
        </w:rPr>
        <w:t>U</w:t>
      </w:r>
      <w:r w:rsidR="00AD6F61" w:rsidRPr="00AD6F61">
        <w:rPr>
          <w:color w:val="000000"/>
          <w:vertAlign w:val="subscript"/>
        </w:rPr>
        <w:t>2</w:t>
      </w:r>
      <w:r w:rsidR="00AD6F61">
        <w:rPr>
          <w:color w:val="000000"/>
          <w:lang w:val="en-US"/>
        </w:rPr>
        <w:t>Rh</w:t>
      </w:r>
      <w:r w:rsidR="00AD6F61" w:rsidRPr="00AD6F61">
        <w:rPr>
          <w:color w:val="000000"/>
        </w:rPr>
        <w:t xml:space="preserve"> </w:t>
      </w:r>
      <w:r w:rsidR="00AD6F61">
        <w:rPr>
          <w:color w:val="000000"/>
        </w:rPr>
        <w:t xml:space="preserve">и </w:t>
      </w:r>
      <w:r w:rsidR="00AD6F61">
        <w:rPr>
          <w:color w:val="000000"/>
          <w:lang w:val="en-US"/>
        </w:rPr>
        <w:t>U</w:t>
      </w:r>
      <w:r w:rsidR="00AD6F61" w:rsidRPr="00AD6F61">
        <w:rPr>
          <w:color w:val="000000"/>
          <w:vertAlign w:val="subscript"/>
        </w:rPr>
        <w:t>2</w:t>
      </w:r>
      <w:r w:rsidR="00AD6F61">
        <w:rPr>
          <w:color w:val="000000"/>
          <w:lang w:val="en-US"/>
        </w:rPr>
        <w:t>Ru</w:t>
      </w:r>
      <w:r w:rsidR="00AD6F61" w:rsidRPr="00AD6F61">
        <w:rPr>
          <w:color w:val="000000"/>
          <w:vertAlign w:val="subscript"/>
        </w:rPr>
        <w:t>3</w:t>
      </w:r>
      <w:r w:rsidR="00AD6F61">
        <w:rPr>
          <w:color w:val="000000"/>
          <w:vertAlign w:val="subscript"/>
        </w:rPr>
        <w:t xml:space="preserve">, </w:t>
      </w:r>
      <w:r w:rsidR="00AD6F61">
        <w:rPr>
          <w:color w:val="000000"/>
        </w:rPr>
        <w:t xml:space="preserve">отсутствующие на фазовой диаграмме. </w:t>
      </w:r>
      <w:r w:rsidRPr="008467D8">
        <w:rPr>
          <w:color w:val="000000"/>
        </w:rPr>
        <w:t>Кроме того, для большинства интерметаллидов не известны области их гомогенности. Также авторами отмечено, что исследуемые соединения реагируют с типичными керамическими материалами при их термической обработке, что негативно сказывается на достоверности получаемых результатов.</w:t>
      </w:r>
    </w:p>
    <w:p w14:paraId="4880A0AF" w14:textId="503117EE" w:rsidR="008467D8" w:rsidRDefault="008467D8" w:rsidP="00846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67D8">
        <w:rPr>
          <w:color w:val="000000"/>
        </w:rPr>
        <w:t xml:space="preserve">В данной работе предпринята попытка восполнить имеющиеся пробелы в данных об образовании и структуре интерметаллических соединений с использованием современных аналитических подходов, а также с учетом их высокой реакционной способности. Температуры фазовых переходов определялись с помощью ДСК литых образцов промежуточных составов и отожжённых образцов с составами, соответствующими индивидуальным </w:t>
      </w:r>
      <w:proofErr w:type="spellStart"/>
      <w:r w:rsidRPr="008467D8">
        <w:rPr>
          <w:color w:val="000000"/>
        </w:rPr>
        <w:t>интерметаллидам</w:t>
      </w:r>
      <w:proofErr w:type="spellEnd"/>
      <w:r w:rsidRPr="008467D8">
        <w:rPr>
          <w:color w:val="000000"/>
        </w:rPr>
        <w:t>. Существующие в системе интерметаллические соединения определялись методом РЭМ-ЭДС для промежуточных составов, выдержанных длительное время (от 4 до 8 недель) при заданной температуре. Характеризация образцов методами РФА оказ</w:t>
      </w:r>
      <w:bookmarkStart w:id="0" w:name="_GoBack"/>
      <w:bookmarkEnd w:id="0"/>
      <w:r w:rsidRPr="008467D8">
        <w:rPr>
          <w:color w:val="000000"/>
        </w:rPr>
        <w:t xml:space="preserve">алась затруднена в следствие сильной </w:t>
      </w:r>
      <w:proofErr w:type="spellStart"/>
      <w:r w:rsidRPr="008467D8">
        <w:rPr>
          <w:color w:val="000000"/>
        </w:rPr>
        <w:t>аморфизации</w:t>
      </w:r>
      <w:proofErr w:type="spellEnd"/>
      <w:r w:rsidRPr="008467D8">
        <w:rPr>
          <w:color w:val="000000"/>
        </w:rPr>
        <w:t xml:space="preserve"> при истирании, реакционной способности и сильного поглощения рентгеновского излучения как самими образцами, так и образующимися примесными фазами. Для уменьшения взаимодействия образцов с окружающими материалами при нагревании нами предложен и успешно опробован керамический </w:t>
      </w:r>
      <w:r w:rsidRPr="008467D8">
        <w:rPr>
          <w:color w:val="000000"/>
          <w:lang w:val="en-US"/>
        </w:rPr>
        <w:t>UO</w:t>
      </w:r>
      <w:r w:rsidRPr="008467D8">
        <w:rPr>
          <w:color w:val="000000"/>
          <w:vertAlign w:val="subscript"/>
        </w:rPr>
        <w:t>2</w:t>
      </w:r>
      <w:r w:rsidRPr="008467D8">
        <w:rPr>
          <w:color w:val="000000"/>
        </w:rPr>
        <w:t xml:space="preserve">. В ходе работы определены температуры фазовых переходов и обнаружено 5 не представленных на фазовых диаграммах интерметаллических соединений: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0.4</w:t>
      </w:r>
      <w:r w:rsidRPr="008467D8">
        <w:rPr>
          <w:color w:val="000000"/>
          <w:lang w:val="en-US"/>
        </w:rPr>
        <w:t>Ru</w:t>
      </w:r>
      <w:r w:rsidRPr="008467D8">
        <w:rPr>
          <w:color w:val="000000"/>
          <w:vertAlign w:val="subscript"/>
        </w:rPr>
        <w:t>0.6</w:t>
      </w:r>
      <w:r w:rsidRPr="008467D8">
        <w:rPr>
          <w:color w:val="000000"/>
        </w:rPr>
        <w:t xml:space="preserve">,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0.33</w:t>
      </w:r>
      <w:r w:rsidRPr="008467D8">
        <w:rPr>
          <w:color w:val="000000"/>
          <w:lang w:val="en-US"/>
        </w:rPr>
        <w:t>Rh</w:t>
      </w:r>
      <w:r w:rsidRPr="008467D8">
        <w:rPr>
          <w:color w:val="000000"/>
          <w:vertAlign w:val="subscript"/>
        </w:rPr>
        <w:t>0.67</w:t>
      </w:r>
      <w:r w:rsidRPr="008467D8">
        <w:rPr>
          <w:color w:val="000000"/>
        </w:rPr>
        <w:t xml:space="preserve">,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0.37</w:t>
      </w:r>
      <w:r w:rsidRPr="008467D8">
        <w:rPr>
          <w:color w:val="000000"/>
          <w:lang w:val="en-US"/>
        </w:rPr>
        <w:t>Rh</w:t>
      </w:r>
      <w:r w:rsidRPr="008467D8">
        <w:rPr>
          <w:color w:val="000000"/>
          <w:vertAlign w:val="subscript"/>
        </w:rPr>
        <w:t>0.63</w:t>
      </w:r>
      <w:r w:rsidRPr="008467D8">
        <w:rPr>
          <w:color w:val="000000"/>
        </w:rPr>
        <w:t xml:space="preserve">,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0.52</w:t>
      </w:r>
      <w:r w:rsidRPr="008467D8">
        <w:rPr>
          <w:color w:val="000000"/>
          <w:lang w:val="en-US"/>
        </w:rPr>
        <w:t>Rh</w:t>
      </w:r>
      <w:r w:rsidRPr="008467D8">
        <w:rPr>
          <w:color w:val="000000"/>
          <w:vertAlign w:val="subscript"/>
        </w:rPr>
        <w:t>0.48</w:t>
      </w:r>
      <w:r w:rsidRPr="008467D8">
        <w:rPr>
          <w:color w:val="000000"/>
        </w:rPr>
        <w:t xml:space="preserve"> и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0.67</w:t>
      </w:r>
      <w:r w:rsidRPr="008467D8">
        <w:rPr>
          <w:color w:val="000000"/>
          <w:lang w:val="en-US"/>
        </w:rPr>
        <w:t>R</w:t>
      </w:r>
      <w:r>
        <w:rPr>
          <w:color w:val="000000"/>
          <w:lang w:val="en-US"/>
        </w:rPr>
        <w:t>h</w:t>
      </w:r>
      <w:r w:rsidRPr="008467D8">
        <w:rPr>
          <w:color w:val="000000"/>
          <w:vertAlign w:val="subscript"/>
        </w:rPr>
        <w:t>0.33</w:t>
      </w:r>
      <w:r w:rsidRPr="008467D8">
        <w:rPr>
          <w:color w:val="000000"/>
        </w:rPr>
        <w:t xml:space="preserve">. Для соединения 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0.4</w:t>
      </w:r>
      <w:r w:rsidRPr="008467D8">
        <w:rPr>
          <w:color w:val="000000"/>
          <w:lang w:val="en-US"/>
        </w:rPr>
        <w:t>Ru</w:t>
      </w:r>
      <w:r w:rsidRPr="008467D8">
        <w:rPr>
          <w:color w:val="000000"/>
          <w:vertAlign w:val="subscript"/>
        </w:rPr>
        <w:t>0.6</w:t>
      </w:r>
      <w:r w:rsidRPr="008467D8">
        <w:rPr>
          <w:color w:val="000000"/>
        </w:rPr>
        <w:t xml:space="preserve"> (</w:t>
      </w:r>
      <w:r w:rsidRPr="008467D8">
        <w:rPr>
          <w:color w:val="000000"/>
          <w:lang w:val="en-US"/>
        </w:rPr>
        <w:t>U</w:t>
      </w:r>
      <w:r w:rsidRPr="008467D8">
        <w:rPr>
          <w:color w:val="000000"/>
          <w:vertAlign w:val="subscript"/>
        </w:rPr>
        <w:t>2</w:t>
      </w:r>
      <w:r w:rsidRPr="008467D8">
        <w:rPr>
          <w:color w:val="000000"/>
          <w:lang w:val="en-US"/>
        </w:rPr>
        <w:t>Ru</w:t>
      </w:r>
      <w:r w:rsidRPr="008467D8">
        <w:rPr>
          <w:color w:val="000000"/>
          <w:vertAlign w:val="subscript"/>
        </w:rPr>
        <w:t>3</w:t>
      </w:r>
      <w:r w:rsidRPr="008467D8">
        <w:rPr>
          <w:color w:val="000000"/>
        </w:rPr>
        <w:t xml:space="preserve">), получены структурные данные: пространственная группа </w:t>
      </w:r>
      <w:proofErr w:type="spellStart"/>
      <w:r w:rsidRPr="008467D8">
        <w:rPr>
          <w:color w:val="000000"/>
          <w:lang w:val="en-US"/>
        </w:rPr>
        <w:t>Fd</w:t>
      </w:r>
      <w:proofErr w:type="spellEnd"/>
      <w:r w:rsidRPr="008467D8">
        <w:rPr>
          <w:color w:val="000000"/>
        </w:rPr>
        <w:t>-3</w:t>
      </w:r>
      <w:r w:rsidRPr="008467D8">
        <w:rPr>
          <w:color w:val="000000"/>
          <w:lang w:val="en-US"/>
        </w:rPr>
        <w:t>m</w:t>
      </w:r>
      <w:r w:rsidRPr="008467D8">
        <w:rPr>
          <w:color w:val="000000"/>
        </w:rPr>
        <w:t xml:space="preserve"> с параметром </w:t>
      </w:r>
      <w:r w:rsidRPr="008467D8">
        <w:rPr>
          <w:color w:val="000000"/>
          <w:lang w:val="en-US"/>
        </w:rPr>
        <w:t>a</w:t>
      </w:r>
      <w:r w:rsidRPr="008467D8">
        <w:rPr>
          <w:color w:val="000000"/>
        </w:rPr>
        <w:t xml:space="preserve"> = 1</w:t>
      </w:r>
      <w:r>
        <w:rPr>
          <w:color w:val="000000"/>
        </w:rPr>
        <w:t>2.89 </w:t>
      </w:r>
      <w:r w:rsidRPr="008467D8">
        <w:rPr>
          <w:color w:val="000000"/>
        </w:rPr>
        <w:t xml:space="preserve">Å, </w:t>
      </w:r>
      <w:r w:rsidRPr="008467D8">
        <w:rPr>
          <w:color w:val="000000"/>
          <w:lang w:val="en-US"/>
        </w:rPr>
        <w:t>Z</w:t>
      </w:r>
      <w:r>
        <w:rPr>
          <w:color w:val="000000"/>
        </w:rPr>
        <w:t xml:space="preserve"> = </w:t>
      </w:r>
      <w:r w:rsidRPr="008467D8">
        <w:rPr>
          <w:color w:val="000000"/>
        </w:rPr>
        <w:t>24.</w:t>
      </w:r>
    </w:p>
    <w:p w14:paraId="066FD9D6" w14:textId="25324A6A" w:rsidR="00841F69" w:rsidRDefault="00841F69" w:rsidP="00846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841F69">
        <w:rPr>
          <w:i/>
          <w:color w:val="000000"/>
        </w:rPr>
        <w:t>Работа выполнена при финансовой поддержке Российского научного фонда за счёт гранта № 24-73-00335</w:t>
      </w:r>
      <w:r>
        <w:rPr>
          <w:i/>
          <w:color w:val="000000"/>
        </w:rPr>
        <w:t>.</w:t>
      </w:r>
    </w:p>
    <w:p w14:paraId="4EFA7FBE" w14:textId="77777777" w:rsidR="00841F69" w:rsidRPr="00841F69" w:rsidRDefault="00841F69" w:rsidP="0084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1ECCA70" w14:textId="06F58CBC" w:rsidR="00841F69" w:rsidRPr="00841F69" w:rsidRDefault="00841F69" w:rsidP="0084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1.</w:t>
      </w:r>
      <w:r w:rsidRPr="00841F69">
        <w:rPr>
          <w:color w:val="000000"/>
          <w:lang w:val="en-US"/>
        </w:rPr>
        <w:t xml:space="preserve"> Park J.J., Mullen L.R. // J. Res. Natl. Bur. Stand. Sect. </w:t>
      </w:r>
      <w:proofErr w:type="gramStart"/>
      <w:r w:rsidRPr="00841F69">
        <w:rPr>
          <w:color w:val="000000"/>
          <w:lang w:val="en-US"/>
        </w:rPr>
        <w:t>A</w:t>
      </w:r>
      <w:proofErr w:type="gramEnd"/>
      <w:r w:rsidRPr="00841F69">
        <w:rPr>
          <w:color w:val="000000"/>
          <w:lang w:val="en-US"/>
        </w:rPr>
        <w:t xml:space="preserve"> Phys. </w:t>
      </w:r>
      <w:proofErr w:type="spellStart"/>
      <w:r w:rsidRPr="00841F69">
        <w:rPr>
          <w:color w:val="000000"/>
        </w:rPr>
        <w:t>Chem</w:t>
      </w:r>
      <w:proofErr w:type="spellEnd"/>
      <w:r w:rsidRPr="00841F69">
        <w:rPr>
          <w:color w:val="000000"/>
        </w:rPr>
        <w:t xml:space="preserve">. 1967. </w:t>
      </w:r>
      <w:proofErr w:type="spellStart"/>
      <w:r w:rsidRPr="00841F69">
        <w:rPr>
          <w:color w:val="000000"/>
        </w:rPr>
        <w:t>Vol</w:t>
      </w:r>
      <w:proofErr w:type="spellEnd"/>
      <w:r w:rsidRPr="00841F69">
        <w:rPr>
          <w:color w:val="000000"/>
        </w:rPr>
        <w:t>. 72A, № 1. P. 7.</w:t>
      </w:r>
    </w:p>
    <w:p w14:paraId="3486C755" w14:textId="1CD2C2F5" w:rsidR="00116478" w:rsidRPr="008467D8" w:rsidRDefault="00841F6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2.</w:t>
      </w:r>
      <w:r w:rsidRPr="00AD6F61">
        <w:rPr>
          <w:color w:val="000000"/>
          <w:lang w:val="en-US"/>
        </w:rPr>
        <w:t xml:space="preserve"> </w:t>
      </w:r>
      <w:r w:rsidRPr="00841F69">
        <w:rPr>
          <w:color w:val="000000"/>
          <w:lang w:val="en-US"/>
        </w:rPr>
        <w:t xml:space="preserve">Park J.J. // J. Res. Natl. Bur. Stand. Sect. </w:t>
      </w:r>
      <w:proofErr w:type="gramStart"/>
      <w:r w:rsidRPr="00841F69">
        <w:rPr>
          <w:color w:val="000000"/>
          <w:lang w:val="en-US"/>
        </w:rPr>
        <w:t>A</w:t>
      </w:r>
      <w:proofErr w:type="gramEnd"/>
      <w:r w:rsidRPr="00841F69">
        <w:rPr>
          <w:color w:val="000000"/>
          <w:lang w:val="en-US"/>
        </w:rPr>
        <w:t xml:space="preserve"> Phys. </w:t>
      </w:r>
      <w:proofErr w:type="spellStart"/>
      <w:r w:rsidRPr="00841F69">
        <w:rPr>
          <w:color w:val="000000"/>
        </w:rPr>
        <w:t>Chem</w:t>
      </w:r>
      <w:proofErr w:type="spellEnd"/>
      <w:r w:rsidRPr="00841F69">
        <w:rPr>
          <w:color w:val="000000"/>
        </w:rPr>
        <w:t xml:space="preserve">. 1968. </w:t>
      </w:r>
      <w:proofErr w:type="spellStart"/>
      <w:r w:rsidRPr="00841F69">
        <w:rPr>
          <w:color w:val="000000"/>
        </w:rPr>
        <w:t>Vol</w:t>
      </w:r>
      <w:proofErr w:type="spellEnd"/>
      <w:r w:rsidRPr="00841F69">
        <w:rPr>
          <w:color w:val="000000"/>
        </w:rPr>
        <w:t>. 72, № 1. P. 10.</w:t>
      </w:r>
    </w:p>
    <w:sectPr w:rsidR="00116478" w:rsidRPr="008467D8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E1B07"/>
    <w:rsid w:val="007F2744"/>
    <w:rsid w:val="00841F69"/>
    <w:rsid w:val="008467D8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6F61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35695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04F1A1-DD28-4457-96B9-D9D28476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som</cp:lastModifiedBy>
  <cp:revision>7</cp:revision>
  <cp:lastPrinted>2026-01-28T14:24:00Z</cp:lastPrinted>
  <dcterms:created xsi:type="dcterms:W3CDTF">2026-01-28T14:24:00Z</dcterms:created>
  <dcterms:modified xsi:type="dcterms:W3CDTF">2026-02-24T07:33:00Z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