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F2B75" w14:textId="66B1AB9F" w:rsidR="00065D9E" w:rsidRPr="00065D9E" w:rsidRDefault="00065D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3D2E30">
        <w:rPr>
          <w:b/>
          <w:color w:val="000000"/>
        </w:rPr>
        <w:t xml:space="preserve">Термодинамические параметры </w:t>
      </w:r>
      <w:proofErr w:type="spellStart"/>
      <w:r w:rsidRPr="003D2E30">
        <w:rPr>
          <w:b/>
          <w:color w:val="000000"/>
        </w:rPr>
        <w:t>таутомерных</w:t>
      </w:r>
      <w:proofErr w:type="spellEnd"/>
      <w:r w:rsidRPr="003D2E30">
        <w:rPr>
          <w:b/>
          <w:color w:val="000000"/>
        </w:rPr>
        <w:t xml:space="preserve"> равновесий Лактона кристаллического фиолетового в </w:t>
      </w:r>
      <w:r w:rsidR="00291683" w:rsidRPr="003D2E30">
        <w:rPr>
          <w:b/>
          <w:color w:val="000000"/>
        </w:rPr>
        <w:t>системе уксусная кислота – ДМСО</w:t>
      </w:r>
    </w:p>
    <w:p w14:paraId="00000002" w14:textId="45216A93" w:rsidR="00130241" w:rsidRDefault="00163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Крепышева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Т</w:t>
      </w:r>
      <w:r w:rsidR="00EB1F49">
        <w:rPr>
          <w:b/>
          <w:i/>
          <w:color w:val="000000"/>
        </w:rPr>
        <w:t>.А.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Волкова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</w:p>
    <w:p w14:paraId="00000003" w14:textId="2977B8F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C31596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00000007" w14:textId="2E0259F4" w:rsidR="00130241" w:rsidRPr="00FE405D" w:rsidRDefault="00C31596" w:rsidP="00FE40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31596">
        <w:rPr>
          <w:rFonts w:eastAsia="Calibri"/>
          <w:i/>
          <w:kern w:val="2"/>
          <w:lang w:eastAsia="en-US"/>
          <w14:ligatures w14:val="standardContextual"/>
        </w:rPr>
        <w:t xml:space="preserve">Санкт-Петербургский государственный технологический институт (технический университет), </w:t>
      </w:r>
      <w:r>
        <w:rPr>
          <w:rFonts w:eastAsia="Calibri"/>
          <w:i/>
          <w:kern w:val="2"/>
          <w:lang w:eastAsia="en-US"/>
          <w14:ligatures w14:val="standardContextual"/>
        </w:rPr>
        <w:t>Санкт-Петербург, Россия</w:t>
      </w:r>
      <w:r w:rsidR="002B1CD0" w:rsidRPr="002B1CD0">
        <w:rPr>
          <w:i/>
          <w:color w:val="000000"/>
          <w:highlight w:val="yellow"/>
        </w:rPr>
        <w:t xml:space="preserve"> </w:t>
      </w:r>
    </w:p>
    <w:p w14:paraId="00000008" w14:textId="2C201863" w:rsidR="00130241" w:rsidRPr="00FE405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C31596">
        <w:rPr>
          <w:i/>
          <w:color w:val="000000"/>
          <w:lang w:val="en-US"/>
        </w:rPr>
        <w:t>E</w:t>
      </w:r>
      <w:r w:rsidR="003B76D6" w:rsidRPr="00FE405D">
        <w:rPr>
          <w:i/>
          <w:color w:val="000000"/>
          <w:lang w:val="en-US"/>
        </w:rPr>
        <w:t>-</w:t>
      </w:r>
      <w:r w:rsidRPr="00C31596">
        <w:rPr>
          <w:i/>
          <w:color w:val="000000"/>
          <w:lang w:val="en-US"/>
        </w:rPr>
        <w:t>mail</w:t>
      </w:r>
      <w:r w:rsidRPr="00FE405D">
        <w:rPr>
          <w:i/>
          <w:color w:val="000000"/>
          <w:lang w:val="en-US"/>
        </w:rPr>
        <w:t xml:space="preserve">: </w:t>
      </w:r>
      <w:r w:rsidR="00C31596" w:rsidRPr="00C31596">
        <w:rPr>
          <w:rFonts w:eastAsia="Calibri"/>
          <w:i/>
          <w:iCs/>
          <w:kern w:val="2"/>
          <w:u w:val="single"/>
          <w:lang w:val="en-US" w:eastAsia="en-US"/>
          <w14:ligatures w14:val="standardContextual"/>
        </w:rPr>
        <w:t>krepyscheva</w:t>
      </w:r>
      <w:r w:rsidR="00C31596" w:rsidRPr="00FE405D">
        <w:rPr>
          <w:rFonts w:eastAsia="Calibri"/>
          <w:i/>
          <w:iCs/>
          <w:kern w:val="2"/>
          <w:u w:val="single"/>
          <w:lang w:val="en-US" w:eastAsia="en-US"/>
          <w14:ligatures w14:val="standardContextual"/>
        </w:rPr>
        <w:t>.</w:t>
      </w:r>
      <w:r w:rsidR="00C31596" w:rsidRPr="00C31596">
        <w:rPr>
          <w:rFonts w:eastAsia="Calibri"/>
          <w:i/>
          <w:iCs/>
          <w:kern w:val="2"/>
          <w:u w:val="single"/>
          <w:lang w:val="en-US" w:eastAsia="en-US"/>
          <w14:ligatures w14:val="standardContextual"/>
        </w:rPr>
        <w:t>t</w:t>
      </w:r>
      <w:r w:rsidR="00C31596" w:rsidRPr="00FE405D">
        <w:rPr>
          <w:rFonts w:eastAsia="Calibri"/>
          <w:i/>
          <w:iCs/>
          <w:kern w:val="2"/>
          <w:u w:val="single"/>
          <w:lang w:val="en-US" w:eastAsia="en-US"/>
          <w14:ligatures w14:val="standardContextual"/>
        </w:rPr>
        <w:t>@</w:t>
      </w:r>
      <w:r w:rsidR="00C31596" w:rsidRPr="00C31596">
        <w:rPr>
          <w:rFonts w:eastAsia="Calibri"/>
          <w:i/>
          <w:iCs/>
          <w:kern w:val="2"/>
          <w:u w:val="single"/>
          <w:lang w:val="en-US" w:eastAsia="en-US"/>
          <w14:ligatures w14:val="standardContextual"/>
        </w:rPr>
        <w:t>yandex</w:t>
      </w:r>
      <w:r w:rsidR="00C31596" w:rsidRPr="00FE405D">
        <w:rPr>
          <w:rFonts w:eastAsia="Calibri"/>
          <w:i/>
          <w:iCs/>
          <w:kern w:val="2"/>
          <w:u w:val="single"/>
          <w:lang w:val="en-US" w:eastAsia="en-US"/>
          <w14:ligatures w14:val="standardContextual"/>
        </w:rPr>
        <w:t>.</w:t>
      </w:r>
      <w:r w:rsidR="00C31596" w:rsidRPr="00C31596">
        <w:rPr>
          <w:rFonts w:eastAsia="Calibri"/>
          <w:i/>
          <w:iCs/>
          <w:kern w:val="2"/>
          <w:u w:val="single"/>
          <w:lang w:val="en-US" w:eastAsia="en-US"/>
          <w14:ligatures w14:val="standardContextual"/>
        </w:rPr>
        <w:t>ru</w:t>
      </w:r>
      <w:r w:rsidRPr="00FE405D">
        <w:rPr>
          <w:i/>
          <w:color w:val="000000"/>
          <w:lang w:val="en-US"/>
        </w:rPr>
        <w:t xml:space="preserve"> </w:t>
      </w:r>
    </w:p>
    <w:p w14:paraId="4C2088CA" w14:textId="49ECC394" w:rsidR="0016398E" w:rsidRPr="0016398E" w:rsidRDefault="00291683" w:rsidP="00FE40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Известно, что в растворах</w:t>
      </w:r>
      <w:r w:rsidR="0016398E" w:rsidRPr="0016398E">
        <w:rPr>
          <w:color w:val="000000"/>
        </w:rPr>
        <w:t xml:space="preserve"> лактона кристаллического фиолетового наблюдается таутомерное равновесие между бесцветной </w:t>
      </w:r>
      <w:proofErr w:type="spellStart"/>
      <w:r w:rsidR="0016398E" w:rsidRPr="0016398E">
        <w:rPr>
          <w:color w:val="000000"/>
        </w:rPr>
        <w:t>лактонной</w:t>
      </w:r>
      <w:proofErr w:type="spellEnd"/>
      <w:r w:rsidR="0016398E" w:rsidRPr="0016398E">
        <w:rPr>
          <w:color w:val="000000"/>
        </w:rPr>
        <w:t xml:space="preserve"> и окрашенной ионизированной формами. Образование последних связано с раскрытием </w:t>
      </w:r>
      <w:proofErr w:type="spellStart"/>
      <w:r w:rsidR="0016398E" w:rsidRPr="0016398E">
        <w:rPr>
          <w:color w:val="000000"/>
        </w:rPr>
        <w:t>лактонного</w:t>
      </w:r>
      <w:proofErr w:type="spellEnd"/>
      <w:r w:rsidR="0016398E" w:rsidRPr="0016398E">
        <w:rPr>
          <w:color w:val="000000"/>
        </w:rPr>
        <w:t xml:space="preserve"> цикла и формированием сопряжённой π-системы. Положение равновесия зависит от температуры, активности протонов в среде растворителя, природы растворителя и их специфических межмолекулярных взаимодействий. В среде с избытком кислоты </w:t>
      </w:r>
      <w:r w:rsidR="004802F0">
        <w:rPr>
          <w:color w:val="000000"/>
        </w:rPr>
        <w:t xml:space="preserve">происходит дальнейшее протонирование </w:t>
      </w:r>
      <w:r w:rsidR="0016398E" w:rsidRPr="0016398E">
        <w:rPr>
          <w:color w:val="000000"/>
        </w:rPr>
        <w:t>ионизированн</w:t>
      </w:r>
      <w:r w:rsidR="004802F0">
        <w:rPr>
          <w:color w:val="000000"/>
        </w:rPr>
        <w:t>ой</w:t>
      </w:r>
      <w:r w:rsidR="0016398E" w:rsidRPr="0016398E">
        <w:rPr>
          <w:color w:val="000000"/>
        </w:rPr>
        <w:t xml:space="preserve"> форм</w:t>
      </w:r>
      <w:r w:rsidR="004802F0">
        <w:rPr>
          <w:color w:val="000000"/>
        </w:rPr>
        <w:t>ы</w:t>
      </w:r>
      <w:r w:rsidR="0016398E" w:rsidRPr="0016398E">
        <w:rPr>
          <w:color w:val="000000"/>
        </w:rPr>
        <w:t>, что сопровождается потерей окраски</w:t>
      </w:r>
      <w:r w:rsidR="004802F0">
        <w:rPr>
          <w:color w:val="000000"/>
        </w:rPr>
        <w:t xml:space="preserve"> в результате разрыва сопряженной </w:t>
      </w:r>
      <w:r w:rsidR="004802F0" w:rsidRPr="0016398E">
        <w:rPr>
          <w:color w:val="000000"/>
        </w:rPr>
        <w:t>π-системы</w:t>
      </w:r>
      <w:r w:rsidR="0016398E" w:rsidRPr="0016398E">
        <w:rPr>
          <w:color w:val="000000"/>
        </w:rPr>
        <w:t xml:space="preserve">. </w:t>
      </w:r>
    </w:p>
    <w:p w14:paraId="4880A0AF" w14:textId="73DA0625" w:rsidR="00F55054" w:rsidRDefault="00254445" w:rsidP="005F4E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54445">
        <w:rPr>
          <w:color w:val="000000"/>
        </w:rPr>
        <w:t>Для получения термодинамических параметров н</w:t>
      </w:r>
      <w:r w:rsidR="0016398E" w:rsidRPr="00254445">
        <w:rPr>
          <w:color w:val="000000"/>
        </w:rPr>
        <w:t>ами был проведён эксперимент:</w:t>
      </w:r>
      <w:r w:rsidR="0016398E" w:rsidRPr="0016398E">
        <w:rPr>
          <w:color w:val="000000"/>
        </w:rPr>
        <w:t xml:space="preserve"> последовательное разбавление раствора CVL в системе уксусная кислота – ДМСО с неизменным соотношением кислоты и ДМСО при температурах 25</w:t>
      </w:r>
      <m:oMath>
        <m:r>
          <w:rPr>
            <w:rFonts w:ascii="Cambria Math" w:hAnsi="Cambria Math"/>
            <w:color w:val="000000"/>
          </w:rPr>
          <m:t>℃</m:t>
        </m:r>
      </m:oMath>
      <w:r w:rsidR="0016398E">
        <w:rPr>
          <w:color w:val="000000"/>
        </w:rPr>
        <w:t xml:space="preserve"> </w:t>
      </w:r>
      <w:r w:rsidR="0016398E" w:rsidRPr="0016398E">
        <w:rPr>
          <w:color w:val="000000"/>
        </w:rPr>
        <w:t>и 50</w:t>
      </w:r>
      <m:oMath>
        <m:r>
          <w:rPr>
            <w:rFonts w:ascii="Cambria Math" w:hAnsi="Cambria Math"/>
            <w:color w:val="000000"/>
          </w:rPr>
          <m:t>℃</m:t>
        </m:r>
      </m:oMath>
      <w:r w:rsidR="0016398E" w:rsidRPr="0016398E">
        <w:rPr>
          <w:color w:val="000000"/>
        </w:rPr>
        <w:t>. Мы предполагаем, что в полученной системе устанавливается равновесие из лактонной (L), ионизированной (LH</w:t>
      </w:r>
      <w:r w:rsidR="0016398E" w:rsidRPr="000C570E">
        <w:rPr>
          <w:color w:val="000000"/>
          <w:vertAlign w:val="superscript"/>
        </w:rPr>
        <w:t>+</w:t>
      </w:r>
      <w:r w:rsidR="0016398E" w:rsidRPr="0016398E">
        <w:rPr>
          <w:color w:val="000000"/>
        </w:rPr>
        <w:t xml:space="preserve">) </w:t>
      </w:r>
      <w:r w:rsidR="004802F0">
        <w:rPr>
          <w:color w:val="000000"/>
        </w:rPr>
        <w:t xml:space="preserve">форм </w:t>
      </w:r>
      <w:r w:rsidR="004802F0" w:rsidRPr="0016398E">
        <w:rPr>
          <w:color w:val="000000"/>
        </w:rPr>
        <w:t>и таутамера</w:t>
      </w:r>
      <w:r w:rsidR="004802F0">
        <w:rPr>
          <w:color w:val="000000"/>
        </w:rPr>
        <w:t xml:space="preserve"> с последующим протонированием окрашенной формы </w:t>
      </w:r>
      <w:r w:rsidR="0016398E" w:rsidRPr="0016398E">
        <w:rPr>
          <w:color w:val="000000"/>
        </w:rPr>
        <w:t>(LH</w:t>
      </w:r>
      <w:r w:rsidR="0016398E" w:rsidRPr="000C570E">
        <w:rPr>
          <w:color w:val="000000"/>
          <w:vertAlign w:val="subscript"/>
        </w:rPr>
        <w:t>2</w:t>
      </w:r>
      <w:r w:rsidR="000C570E" w:rsidRPr="000C570E">
        <w:rPr>
          <w:color w:val="000000"/>
          <w:vertAlign w:val="superscript"/>
        </w:rPr>
        <w:t>2</w:t>
      </w:r>
      <w:r w:rsidR="0016398E" w:rsidRPr="000C570E">
        <w:rPr>
          <w:color w:val="000000"/>
          <w:vertAlign w:val="superscript"/>
        </w:rPr>
        <w:t>+</w:t>
      </w:r>
      <w:r w:rsidR="0016398E" w:rsidRPr="0016398E">
        <w:rPr>
          <w:color w:val="000000"/>
        </w:rPr>
        <w:t>) (1).</w:t>
      </w:r>
    </w:p>
    <w:p w14:paraId="3DD27046" w14:textId="2B41A33C" w:rsidR="0016398E" w:rsidRPr="003138E8" w:rsidRDefault="000C570E" w:rsidP="003138E8">
      <w:pPr>
        <w:ind w:firstLine="708"/>
        <w:jc w:val="both"/>
        <w:rPr>
          <w:rFonts w:eastAsiaTheme="minorEastAsia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/>
                  <w:i/>
                </w:rPr>
              </m:ctrlPr>
            </m:eqArrPr>
            <m:e>
              <m:r>
                <w:rPr>
                  <w:rFonts w:ascii="Cambria Math" w:eastAsiaTheme="minorEastAsia" w:hAnsi="Cambria Math"/>
                </w:rPr>
                <m:t>L+2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+</m:t>
                  </m:r>
                </m:sup>
              </m:sSup>
              <m:box>
                <m:boxPr>
                  <m:opEmu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boxPr>
                <m:e>
                  <m:groupChr>
                    <m:groupChrPr>
                      <m:chr m:val="↔"/>
                      <m:vertJc m:val="bot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groupChr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sub>
                      </m:sSub>
                    </m:e>
                  </m:groupChr>
                </m:e>
              </m:box>
              <m:r>
                <w:rPr>
                  <w:rFonts w:ascii="Cambria Math" w:eastAsiaTheme="minorEastAsia" w:hAnsi="Cambria Math"/>
                </w:rPr>
                <m:t>L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+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+</m:t>
                  </m:r>
                </m:sup>
              </m:sSup>
              <m:box>
                <m:boxPr>
                  <m:opEmu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boxPr>
                <m:e>
                  <m:groupChr>
                    <m:groupChrPr>
                      <m:chr m:val="↔"/>
                      <m:vertJc m:val="bot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groupChr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b>
                      </m:sSub>
                    </m:e>
                  </m:groupChr>
                </m:e>
              </m:box>
              <m:r>
                <w:rPr>
                  <w:rFonts w:ascii="Cambria Math" w:eastAsiaTheme="minorEastAsia" w:hAnsi="Cambria Math"/>
                </w:rPr>
                <m:t>L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2+</m:t>
                  </m:r>
                </m:sup>
              </m:sSubSup>
              <m:r>
                <w:rPr>
                  <w:rFonts w:ascii="Cambria Math" w:eastAsiaTheme="minorEastAsia" w:hAnsi="Cambria Math"/>
                </w:rPr>
                <m:t>#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d>
            </m:e>
          </m:eqArr>
        </m:oMath>
      </m:oMathPara>
    </w:p>
    <w:p w14:paraId="3F871D98" w14:textId="62EE79EA" w:rsidR="00D42542" w:rsidRDefault="0016398E" w:rsidP="005F4E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6398E">
        <w:rPr>
          <w:color w:val="000000"/>
        </w:rPr>
        <w:t>На основании полученных в экспериментах данных были рассчитаны концентрационные константы К1 и К2 для двух исследуемых равновесий при температурах 25</w:t>
      </w:r>
      <m:oMath>
        <m:r>
          <w:rPr>
            <w:rFonts w:ascii="Cambria Math" w:hAnsi="Cambria Math"/>
            <w:color w:val="000000"/>
          </w:rPr>
          <m:t>℃</m:t>
        </m:r>
      </m:oMath>
      <w:r>
        <w:rPr>
          <w:color w:val="000000"/>
        </w:rPr>
        <w:t xml:space="preserve"> </w:t>
      </w:r>
      <w:r w:rsidRPr="0016398E">
        <w:rPr>
          <w:color w:val="000000"/>
        </w:rPr>
        <w:t>и 50</w:t>
      </w:r>
      <m:oMath>
        <m:r>
          <w:rPr>
            <w:rFonts w:ascii="Cambria Math" w:hAnsi="Cambria Math"/>
            <w:color w:val="000000"/>
          </w:rPr>
          <m:t>℃</m:t>
        </m:r>
      </m:oMath>
      <w:r w:rsidRPr="0016398E">
        <w:rPr>
          <w:color w:val="000000"/>
        </w:rPr>
        <w:t xml:space="preserve">. С использованием </w:t>
      </w:r>
      <w:r w:rsidRPr="003D2E30">
        <w:rPr>
          <w:color w:val="000000"/>
        </w:rPr>
        <w:t xml:space="preserve">интегральной формы уравнения </w:t>
      </w:r>
      <w:r w:rsidR="002D250B" w:rsidRPr="003D2E30">
        <w:rPr>
          <w:color w:val="000000"/>
        </w:rPr>
        <w:t>Вант-Гоффа</w:t>
      </w:r>
      <w:r w:rsidR="002D250B">
        <w:rPr>
          <w:color w:val="000000"/>
          <w:highlight w:val="lightGray"/>
        </w:rPr>
        <w:t xml:space="preserve"> </w:t>
      </w:r>
      <w:r w:rsidRPr="0016398E">
        <w:rPr>
          <w:color w:val="000000"/>
        </w:rPr>
        <w:t>(уравнения 2 и 3) определены соответствующие тепловые эффекты:</w:t>
      </w:r>
    </w:p>
    <w:p w14:paraId="52CEFF6F" w14:textId="77777777" w:rsidR="0016398E" w:rsidRPr="00BD23DD" w:rsidRDefault="000C570E" w:rsidP="005F4E2E">
      <w:pPr>
        <w:ind w:firstLine="708"/>
        <w:jc w:val="both"/>
        <w:rPr>
          <w:rFonts w:eastAsiaTheme="minorEastAsia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eqArrPr>
            <m:e>
              <m:r>
                <w:rPr>
                  <w:rFonts w:ascii="Cambria Math" w:eastAsiaTheme="minorEastAsia" w:hAnsi="Cambria Math"/>
                </w:rPr>
                <m:t>∆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50</m:t>
                      </m:r>
                    </m:sup>
                  </m:sSubSup>
                  <m:r>
                    <w:rPr>
                      <w:rFonts w:ascii="Cambria Math" w:eastAsiaTheme="minorEastAsia" w:hAnsi="Cambria Math"/>
                      <w:lang w:val="en-US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25</m:t>
                      </m:r>
                    </m:sup>
                  </m:sSubSup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cp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val="en-US"/>
                    </w:rPr>
                    <m:t>∙∆T</m:t>
                  </m:r>
                </m:den>
              </m:f>
              <m:r>
                <w:rPr>
                  <w:rFonts w:ascii="Cambria Math" w:eastAsiaTheme="minorEastAsia" w:hAnsi="Cambria Math"/>
                  <w:lang w:val="en-US"/>
                </w:rPr>
                <m:t>∙R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cp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/>
                </w:rPr>
                <m:t>#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e>
              </m:d>
              <m:ctrlPr>
                <w:rPr>
                  <w:rFonts w:ascii="Cambria Math" w:eastAsiaTheme="minorEastAsia" w:hAnsi="Cambria Math"/>
                  <w:i/>
                </w:rPr>
              </m:ctrlPr>
            </m:e>
          </m:eqArr>
        </m:oMath>
      </m:oMathPara>
    </w:p>
    <w:p w14:paraId="5C803DA9" w14:textId="4DF5E18C" w:rsidR="0016398E" w:rsidRPr="0016398E" w:rsidRDefault="000C570E" w:rsidP="005F4E2E">
      <w:pPr>
        <w:ind w:firstLine="708"/>
        <w:jc w:val="both"/>
        <w:rPr>
          <w:rFonts w:eastAsiaTheme="minorEastAsia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eqArrPr>
            <m:e>
              <m:r>
                <w:rPr>
                  <w:rFonts w:ascii="Cambria Math" w:eastAsiaTheme="minorEastAsia" w:hAnsi="Cambria Math"/>
                </w:rPr>
                <m:t>∆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eastAsiaTheme="minorEastAsia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lnK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50</m:t>
                      </m:r>
                    </m:sup>
                  </m:sSubSup>
                  <m:r>
                    <w:rPr>
                      <w:rFonts w:ascii="Cambria Math" w:eastAsiaTheme="minorEastAsia" w:hAnsi="Cambria Math"/>
                      <w:lang w:val="en-US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lnK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25</m:t>
                      </m:r>
                    </m:sup>
                  </m:sSubSup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∆T</m:t>
                  </m:r>
                </m:den>
              </m:f>
              <m:r>
                <w:rPr>
                  <w:rFonts w:ascii="Cambria Math" w:eastAsiaTheme="minorEastAsia" w:hAnsi="Cambria Math"/>
                  <w:lang w:val="en-US"/>
                </w:rPr>
                <m:t>∙R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cp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/>
                </w:rPr>
                <m:t>#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e>
              </m:d>
              <m:ctrlPr>
                <w:rPr>
                  <w:rFonts w:ascii="Cambria Math" w:eastAsiaTheme="minorEastAsia" w:hAnsi="Cambria Math"/>
                  <w:i/>
                </w:rPr>
              </m:ctrlPr>
            </m:e>
          </m:eqArr>
        </m:oMath>
      </m:oMathPara>
    </w:p>
    <w:p w14:paraId="1CAD4BC0" w14:textId="204AC468" w:rsidR="0016398E" w:rsidRDefault="0016398E" w:rsidP="005F4E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</w:rPr>
      </w:pPr>
      <w:r>
        <w:rPr>
          <w:rFonts w:eastAsiaTheme="minorEastAsia"/>
        </w:rPr>
        <w:t xml:space="preserve">Где </w:t>
      </w:r>
      <w:proofErr w:type="spellStart"/>
      <w:r w:rsidRPr="00192562">
        <w:rPr>
          <w:rFonts w:eastAsiaTheme="minorEastAsia"/>
        </w:rPr>
        <w:t>T</w:t>
      </w:r>
      <w:r w:rsidRPr="00192562">
        <w:rPr>
          <w:rFonts w:eastAsiaTheme="minorEastAsia"/>
          <w:vertAlign w:val="subscript"/>
        </w:rPr>
        <w:t>cp</w:t>
      </w:r>
      <w:proofErr w:type="spellEnd"/>
      <w:r>
        <w:rPr>
          <w:rFonts w:eastAsiaTheme="minorEastAsia"/>
        </w:rPr>
        <w:t xml:space="preserve"> – </w:t>
      </w:r>
      <w:r w:rsidRPr="00254445">
        <w:rPr>
          <w:rFonts w:eastAsiaTheme="minorEastAsia"/>
        </w:rPr>
        <w:t>средня</w:t>
      </w:r>
      <w:r w:rsidR="00254445" w:rsidRPr="00254445">
        <w:rPr>
          <w:rFonts w:eastAsiaTheme="minorEastAsia"/>
        </w:rPr>
        <w:t>я температура</w:t>
      </w:r>
      <w:r>
        <w:rPr>
          <w:rFonts w:eastAsiaTheme="minorEastAsia"/>
        </w:rPr>
        <w:t>;</w:t>
      </w:r>
      <w:r w:rsidRPr="00192562">
        <w:rPr>
          <w:rFonts w:eastAsiaTheme="minorEastAsia"/>
        </w:rPr>
        <w:t xml:space="preserve"> Δ</w:t>
      </w:r>
      <w:r w:rsidRPr="00192562">
        <w:rPr>
          <w:rFonts w:eastAsiaTheme="minorEastAsia"/>
          <w:lang w:val="en-US"/>
        </w:rPr>
        <w:t>T</w:t>
      </w:r>
      <w:r>
        <w:rPr>
          <w:rFonts w:eastAsiaTheme="minorEastAsia"/>
        </w:rPr>
        <w:t xml:space="preserve"> </w:t>
      </w:r>
      <w:r w:rsidRPr="00192562">
        <w:rPr>
          <w:rFonts w:eastAsiaTheme="minorEastAsia"/>
        </w:rPr>
        <w:t>=</w:t>
      </w:r>
      <w:r>
        <w:rPr>
          <w:rFonts w:eastAsiaTheme="minorEastAsia"/>
        </w:rPr>
        <w:t xml:space="preserve"> </w:t>
      </w:r>
      <w:r w:rsidRPr="00192562">
        <w:rPr>
          <w:rFonts w:eastAsiaTheme="minorEastAsia"/>
        </w:rPr>
        <w:t>25</w:t>
      </w:r>
      <w:r>
        <w:rPr>
          <w:rFonts w:eastAsiaTheme="minorEastAsia"/>
        </w:rPr>
        <w:t xml:space="preserve">К; </w:t>
      </w:r>
      <w:proofErr w:type="spellStart"/>
      <w:r w:rsidRPr="00192562">
        <w:rPr>
          <w:rFonts w:eastAsiaTheme="minorEastAsia"/>
          <w:lang w:val="en-US"/>
        </w:rPr>
        <w:t>K</w:t>
      </w:r>
      <w:r w:rsidRPr="00192562">
        <w:rPr>
          <w:rFonts w:eastAsiaTheme="minorEastAsia"/>
          <w:vertAlign w:val="subscript"/>
          <w:lang w:val="en-US"/>
        </w:rPr>
        <w:t>cp</w:t>
      </w:r>
      <w:proofErr w:type="spellEnd"/>
      <w:r>
        <w:rPr>
          <w:rFonts w:eastAsiaTheme="minorEastAsia"/>
        </w:rPr>
        <w:t xml:space="preserve"> –</w:t>
      </w:r>
      <w:r w:rsidRPr="00192562">
        <w:rPr>
          <w:rFonts w:eastAsiaTheme="minorEastAsia"/>
        </w:rPr>
        <w:t xml:space="preserve"> среднее арифметическое значение константы равновесия в исследуемом </w:t>
      </w:r>
      <w:r>
        <w:rPr>
          <w:rFonts w:eastAsiaTheme="minorEastAsia"/>
        </w:rPr>
        <w:t xml:space="preserve">равновесии; </w:t>
      </w:r>
      <w:r w:rsidRPr="00192562">
        <w:rPr>
          <w:rFonts w:eastAsiaTheme="minorEastAsia"/>
        </w:rPr>
        <w:t>R</w:t>
      </w:r>
      <w:r>
        <w:rPr>
          <w:rFonts w:eastAsiaTheme="minorEastAsia"/>
        </w:rPr>
        <w:t xml:space="preserve"> – </w:t>
      </w:r>
      <w:r w:rsidRPr="00192562">
        <w:rPr>
          <w:rFonts w:eastAsiaTheme="minorEastAsia"/>
        </w:rPr>
        <w:t>универсальная газовая постоянная</w:t>
      </w:r>
      <w:r>
        <w:rPr>
          <w:rFonts w:eastAsiaTheme="minorEastAsia"/>
        </w:rPr>
        <w:t>.</w:t>
      </w:r>
    </w:p>
    <w:p w14:paraId="0D76B91F" w14:textId="0DC85B52" w:rsidR="0016398E" w:rsidRDefault="0016398E" w:rsidP="005F4E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</w:rPr>
      </w:pPr>
      <w:r>
        <w:rPr>
          <w:rFonts w:eastAsiaTheme="minorEastAsia"/>
        </w:rPr>
        <w:t>Рассчитанные значения тепловых эффектов составили:</w:t>
      </w:r>
    </w:p>
    <w:p w14:paraId="0CA47AB7" w14:textId="77777777" w:rsidR="0016398E" w:rsidRPr="00604901" w:rsidRDefault="0016398E" w:rsidP="005F4E2E">
      <w:pPr>
        <w:ind w:firstLine="708"/>
        <w:jc w:val="both"/>
        <w:rPr>
          <w:rFonts w:eastAsiaTheme="minorEastAsia"/>
        </w:rPr>
      </w:pPr>
      <w:bookmarkStart w:id="0" w:name="_Hlk223199188"/>
      <m:oMathPara>
        <m:oMath>
          <m:r>
            <w:rPr>
              <w:rFonts w:ascii="Cambria Math" w:eastAsiaTheme="minorEastAsia" w:hAnsi="Cambria Math"/>
            </w:rPr>
            <m:t>∆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=33,3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кДж</m:t>
              </m:r>
            </m:num>
            <m:den>
              <m:r>
                <w:rPr>
                  <w:rFonts w:ascii="Cambria Math" w:eastAsiaTheme="minorEastAsia" w:hAnsi="Cambria Math"/>
                </w:rPr>
                <m:t>моль</m:t>
              </m:r>
            </m:den>
          </m:f>
          <m:r>
            <w:rPr>
              <w:rFonts w:ascii="Cambria Math" w:eastAsiaTheme="minorEastAsia" w:hAnsi="Cambria Math"/>
            </w:rPr>
            <m:t>, ∆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bSup>
          <m:r>
            <w:rPr>
              <w:rFonts w:ascii="Cambria Math" w:eastAsiaTheme="minorEastAsia" w:hAnsi="Cambria Math"/>
            </w:rPr>
            <m:t>=36,9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кДж</m:t>
              </m:r>
            </m:num>
            <m:den>
              <m:r>
                <w:rPr>
                  <w:rFonts w:ascii="Cambria Math" w:eastAsiaTheme="minorEastAsia" w:hAnsi="Cambria Math"/>
                </w:rPr>
                <m:t>моль</m:t>
              </m:r>
            </m:den>
          </m:f>
          <m:r>
            <w:rPr>
              <w:rFonts w:ascii="Cambria Math" w:eastAsiaTheme="minorEastAsia" w:hAnsi="Cambria Math"/>
            </w:rPr>
            <m:t>;</m:t>
          </m:r>
        </m:oMath>
      </m:oMathPara>
    </w:p>
    <w:p w14:paraId="5A640E36" w14:textId="70B800FD" w:rsidR="0016398E" w:rsidRDefault="0016398E" w:rsidP="005F4E2E">
      <w:pPr>
        <w:ind w:firstLine="708"/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∆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=-8,30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кДж</m:t>
              </m:r>
            </m:num>
            <m:den>
              <m:r>
                <w:rPr>
                  <w:rFonts w:ascii="Cambria Math" w:eastAsiaTheme="minorEastAsia" w:hAnsi="Cambria Math"/>
                </w:rPr>
                <m:t>моль</m:t>
              </m:r>
            </m:den>
          </m:f>
          <m:r>
            <w:rPr>
              <w:rFonts w:ascii="Cambria Math" w:eastAsiaTheme="minorEastAsia" w:hAnsi="Cambria Math"/>
            </w:rPr>
            <m:t>, ∆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val="en-US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bSup>
          <m:r>
            <w:rPr>
              <w:rFonts w:ascii="Cambria Math" w:eastAsiaTheme="minorEastAsia" w:hAnsi="Cambria Math"/>
            </w:rPr>
            <m:t>=-8,37</m:t>
          </m:r>
          <w:bookmarkEnd w:id="0"/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кДж</m:t>
              </m:r>
            </m:num>
            <m:den>
              <m:r>
                <w:rPr>
                  <w:rFonts w:ascii="Cambria Math" w:eastAsiaTheme="minorEastAsia" w:hAnsi="Cambria Math"/>
                </w:rPr>
                <m:t>моль</m:t>
              </m:r>
            </m:den>
          </m:f>
        </m:oMath>
      </m:oMathPara>
    </w:p>
    <w:p w14:paraId="3486C755" w14:textId="2AE8276B" w:rsidR="00116478" w:rsidRPr="00254445" w:rsidRDefault="0016398E" w:rsidP="005F4E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6398E">
        <w:rPr>
          <w:color w:val="000000"/>
        </w:rPr>
        <w:t xml:space="preserve">Полученные результаты свидетельствуют о том, что первое равновесие характеризуется выраженным эндотермическим эффектом, тогда как для второго равновесия наблюдается незначительный экзотермический эффект. Повышение температуры смещает равновесие в сторону ионизированной (окрашенной) формы, </w:t>
      </w:r>
      <w:r w:rsidRPr="00254445">
        <w:rPr>
          <w:color w:val="000000"/>
        </w:rPr>
        <w:t>что объясняет увеличение интенсивности окраски раствора при нагревании.</w:t>
      </w:r>
      <w:r w:rsidR="00254445">
        <w:rPr>
          <w:color w:val="000000"/>
        </w:rPr>
        <w:t xml:space="preserve"> Данные о тепловых эффектах уточняют представление о смещении изучаемых равновесий </w:t>
      </w:r>
      <w:r w:rsidR="00254445">
        <w:rPr>
          <w:color w:val="000000"/>
          <w:lang w:val="en-US"/>
        </w:rPr>
        <w:t>CVL</w:t>
      </w:r>
      <w:r w:rsidR="00254445">
        <w:rPr>
          <w:color w:val="000000"/>
        </w:rPr>
        <w:t xml:space="preserve"> в среде уксусная кислота – ДМСО.</w:t>
      </w:r>
    </w:p>
    <w:sectPr w:rsidR="00116478" w:rsidRPr="00254445" w:rsidSect="00FE405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65D9E"/>
    <w:rsid w:val="00075D6E"/>
    <w:rsid w:val="00086081"/>
    <w:rsid w:val="0009449A"/>
    <w:rsid w:val="00094FD0"/>
    <w:rsid w:val="000C570E"/>
    <w:rsid w:val="000E334E"/>
    <w:rsid w:val="00101A1C"/>
    <w:rsid w:val="00103657"/>
    <w:rsid w:val="00106375"/>
    <w:rsid w:val="00107AA3"/>
    <w:rsid w:val="00116478"/>
    <w:rsid w:val="00130241"/>
    <w:rsid w:val="00130DCF"/>
    <w:rsid w:val="0016398E"/>
    <w:rsid w:val="001E61C2"/>
    <w:rsid w:val="001F0493"/>
    <w:rsid w:val="0022260A"/>
    <w:rsid w:val="002264EE"/>
    <w:rsid w:val="0023307C"/>
    <w:rsid w:val="00254445"/>
    <w:rsid w:val="00291683"/>
    <w:rsid w:val="002B1CD0"/>
    <w:rsid w:val="002D250B"/>
    <w:rsid w:val="0031361E"/>
    <w:rsid w:val="003138E8"/>
    <w:rsid w:val="00315D93"/>
    <w:rsid w:val="00344930"/>
    <w:rsid w:val="00373E2D"/>
    <w:rsid w:val="00391C38"/>
    <w:rsid w:val="003B76D6"/>
    <w:rsid w:val="003D09AD"/>
    <w:rsid w:val="003D2E30"/>
    <w:rsid w:val="003E2601"/>
    <w:rsid w:val="003F4E6B"/>
    <w:rsid w:val="004274C7"/>
    <w:rsid w:val="004802F0"/>
    <w:rsid w:val="004A26A3"/>
    <w:rsid w:val="004F0EDF"/>
    <w:rsid w:val="004F4988"/>
    <w:rsid w:val="00522BF1"/>
    <w:rsid w:val="00590166"/>
    <w:rsid w:val="005B07E6"/>
    <w:rsid w:val="005B5C5A"/>
    <w:rsid w:val="005D022B"/>
    <w:rsid w:val="005E5BE9"/>
    <w:rsid w:val="005F4E2E"/>
    <w:rsid w:val="00665279"/>
    <w:rsid w:val="006720BE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C07D2"/>
    <w:rsid w:val="00BF36F8"/>
    <w:rsid w:val="00BF4622"/>
    <w:rsid w:val="00C304D6"/>
    <w:rsid w:val="00C31596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27B36"/>
    <w:rsid w:val="00E74069"/>
    <w:rsid w:val="00E81D35"/>
    <w:rsid w:val="00EB1F49"/>
    <w:rsid w:val="00F55054"/>
    <w:rsid w:val="00F865B3"/>
    <w:rsid w:val="00FA2140"/>
    <w:rsid w:val="00FB1509"/>
    <w:rsid w:val="00FE405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B88D7B-A281-4094-80F8-A68F93272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 Крепышева</cp:lastModifiedBy>
  <cp:revision>5</cp:revision>
  <cp:lastPrinted>2026-01-28T14:24:00Z</cp:lastPrinted>
  <dcterms:created xsi:type="dcterms:W3CDTF">2026-03-18T13:46:00Z</dcterms:created>
  <dcterms:modified xsi:type="dcterms:W3CDTF">2026-03-18T13:48:00Z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