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4C45" w14:textId="1786125B" w:rsidR="00E972D8" w:rsidRPr="00E972D8" w:rsidRDefault="00E972D8" w:rsidP="00E972D8">
      <w:pPr>
        <w:spacing w:after="0" w:line="360" w:lineRule="auto"/>
        <w:jc w:val="center"/>
        <w:rPr>
          <w:rFonts w:eastAsia="Times New Roman"/>
          <w:color w:val="000000"/>
          <w:sz w:val="22"/>
          <w:szCs w:val="20"/>
          <w:lang w:val="ru-RU"/>
        </w:rPr>
      </w:pPr>
      <w:r w:rsidRPr="00E972D8">
        <w:rPr>
          <w:rFonts w:eastAsia="Times New Roman"/>
          <w:b/>
          <w:szCs w:val="24"/>
          <w:lang w:val="ru-RU"/>
        </w:rPr>
        <w:t xml:space="preserve">Формирование двойных фосфатов тория </w:t>
      </w:r>
      <w:r w:rsidRPr="00E972D8">
        <w:rPr>
          <w:rFonts w:eastAsia="Times New Roman"/>
          <w:b/>
          <w:szCs w:val="24"/>
        </w:rPr>
        <w:t>c</w:t>
      </w:r>
      <w:r w:rsidRPr="00E972D8">
        <w:rPr>
          <w:rFonts w:eastAsia="Times New Roman"/>
          <w:b/>
          <w:szCs w:val="24"/>
          <w:lang w:val="ru-RU"/>
        </w:rPr>
        <w:t xml:space="preserve"> натри</w:t>
      </w:r>
      <w:r w:rsidR="00340A02">
        <w:rPr>
          <w:rFonts w:eastAsia="Times New Roman"/>
          <w:b/>
          <w:szCs w:val="24"/>
          <w:lang w:val="ru-RU"/>
        </w:rPr>
        <w:t>ем</w:t>
      </w:r>
      <w:r w:rsidRPr="00E972D8">
        <w:rPr>
          <w:rFonts w:eastAsia="Times New Roman"/>
          <w:b/>
          <w:szCs w:val="24"/>
          <w:lang w:val="ru-RU"/>
        </w:rPr>
        <w:t xml:space="preserve"> из </w:t>
      </w:r>
      <w:r w:rsidR="00622EFC">
        <w:rPr>
          <w:rFonts w:eastAsia="Times New Roman"/>
          <w:b/>
          <w:szCs w:val="24"/>
          <w:lang w:val="ru-RU"/>
        </w:rPr>
        <w:t xml:space="preserve">рентгено-аморфного </w:t>
      </w:r>
      <w:r w:rsidRPr="00E972D8">
        <w:rPr>
          <w:rFonts w:eastAsia="Times New Roman"/>
          <w:b/>
          <w:szCs w:val="24"/>
        </w:rPr>
        <w:t>ThO</w:t>
      </w:r>
      <w:r w:rsidRPr="00E972D8">
        <w:rPr>
          <w:rFonts w:eastAsia="Times New Roman"/>
          <w:b/>
          <w:szCs w:val="24"/>
          <w:vertAlign w:val="subscript"/>
          <w:lang w:val="ru-RU"/>
        </w:rPr>
        <w:t>2</w:t>
      </w:r>
    </w:p>
    <w:p w14:paraId="45BAE1AD" w14:textId="5A273053" w:rsidR="0050437F" w:rsidRDefault="008C0FE6" w:rsidP="00AF463C">
      <w:pPr>
        <w:pStyle w:val="afd"/>
        <w:spacing w:line="240" w:lineRule="auto"/>
        <w:ind w:left="113" w:right="136" w:firstLine="397"/>
        <w:rPr>
          <w:vertAlign w:val="superscript"/>
        </w:rPr>
      </w:pPr>
      <w:r w:rsidRPr="00AF463C">
        <w:rPr>
          <w:rStyle w:val="afe"/>
          <w:u w:val="none"/>
        </w:rPr>
        <w:t>Тетерин А.</w:t>
      </w:r>
      <w:r w:rsidR="00A54AC2" w:rsidRPr="00AF463C">
        <w:rPr>
          <w:rStyle w:val="afe"/>
          <w:u w:val="none"/>
        </w:rPr>
        <w:t xml:space="preserve"> </w:t>
      </w:r>
      <w:r w:rsidR="00340A02">
        <w:rPr>
          <w:rStyle w:val="afe"/>
          <w:u w:val="none"/>
        </w:rPr>
        <w:t>Ю.</w:t>
      </w:r>
    </w:p>
    <w:p w14:paraId="1E52812A" w14:textId="2186102A" w:rsidR="00AF463C" w:rsidRPr="00AF463C" w:rsidRDefault="00AF463C" w:rsidP="00AF463C">
      <w:pPr>
        <w:pStyle w:val="afd"/>
        <w:spacing w:line="240" w:lineRule="auto"/>
        <w:ind w:left="113" w:right="136" w:firstLine="397"/>
      </w:pPr>
      <w:r>
        <w:t>Студент, 6 курс специалитета</w:t>
      </w:r>
    </w:p>
    <w:p w14:paraId="4EF12CD5" w14:textId="40280DAB" w:rsidR="008104E0" w:rsidRPr="008104E0" w:rsidRDefault="00853EF9" w:rsidP="00B354F1">
      <w:pPr>
        <w:pStyle w:val="aff0"/>
        <w:spacing w:line="240" w:lineRule="auto"/>
        <w:ind w:left="113" w:right="136" w:firstLine="397"/>
        <w:rPr>
          <w:rFonts w:cs="Times New Roman"/>
          <w:b/>
          <w:bCs/>
        </w:rPr>
      </w:pPr>
      <w:r w:rsidRPr="008104E0">
        <w:rPr>
          <w:rFonts w:cs="Times New Roman"/>
        </w:rPr>
        <w:t>Химический факультет МГУ имени М.В. Ломоносова, Москва, Россия</w:t>
      </w:r>
      <w:r w:rsidRPr="008104E0">
        <w:rPr>
          <w:rFonts w:cs="Times New Roman"/>
          <w:b/>
          <w:bCs/>
        </w:rPr>
        <w:t xml:space="preserve"> </w:t>
      </w:r>
      <w:r w:rsidR="008104E0">
        <w:rPr>
          <w:rFonts w:cs="Times New Roman"/>
          <w:b/>
          <w:bCs/>
        </w:rPr>
        <w:br/>
      </w:r>
      <w:r w:rsidRPr="008104E0">
        <w:rPr>
          <w:iCs/>
        </w:rPr>
        <w:t>НИЦ «Курчатовский институт», Москва, Россия</w:t>
      </w:r>
    </w:p>
    <w:p w14:paraId="688329DC" w14:textId="09432F63" w:rsidR="005A2B5A" w:rsidRPr="00340A02" w:rsidRDefault="008104E0" w:rsidP="00340A02">
      <w:pPr>
        <w:pStyle w:val="aff0"/>
        <w:spacing w:line="240" w:lineRule="auto"/>
        <w:ind w:left="113" w:right="136" w:firstLine="397"/>
        <w:rPr>
          <w:iCs/>
        </w:rPr>
      </w:pPr>
      <w:r w:rsidRPr="008104E0">
        <w:rPr>
          <w:i/>
          <w:lang w:val="en-US"/>
        </w:rPr>
        <w:t>E</w:t>
      </w:r>
      <w:r w:rsidRPr="00E972D8">
        <w:rPr>
          <w:i/>
          <w:lang w:val="en-US"/>
        </w:rPr>
        <w:t>-</w:t>
      </w:r>
      <w:r w:rsidRPr="008104E0">
        <w:rPr>
          <w:i/>
          <w:lang w:val="en-US"/>
        </w:rPr>
        <w:t>mail</w:t>
      </w:r>
      <w:r w:rsidRPr="00E972D8">
        <w:rPr>
          <w:i/>
          <w:lang w:val="en-US"/>
        </w:rPr>
        <w:t xml:space="preserve">: </w:t>
      </w:r>
      <w:r w:rsidR="009767D9" w:rsidRPr="00E972D8">
        <w:rPr>
          <w:i/>
          <w:u w:val="single"/>
          <w:lang w:val="en-US"/>
        </w:rPr>
        <w:t>iurii.teterin@chemistry.msu.ru</w:t>
      </w:r>
    </w:p>
    <w:p w14:paraId="0AE9D81C" w14:textId="717D9F0F" w:rsidR="005A2B5A" w:rsidRDefault="005A2B5A" w:rsidP="00340A02">
      <w:pPr>
        <w:pStyle w:val="aff2"/>
        <w:spacing w:line="240" w:lineRule="auto"/>
        <w:ind w:left="113" w:right="136" w:firstLine="397"/>
      </w:pPr>
      <w:r>
        <w:t xml:space="preserve">В настоящее время атомная энергетика активно развивается как один из ключевых источников "зеленой" энергии. Одной из важнейших проблем, требующих серьезного внимания, остается безопасное захоронение радиоактивных отходов (РАО). На сегодняшний день одним из способов иммобилизации актинидов является </w:t>
      </w:r>
      <w:r>
        <w:rPr>
          <w:rFonts w:eastAsiaTheme="minorHAnsi"/>
        </w:rPr>
        <w:t>фосфатная керамика. Она обладает высокой устойчивость</w:t>
      </w:r>
      <w:r w:rsidR="00340A02">
        <w:rPr>
          <w:rFonts w:eastAsiaTheme="minorHAnsi"/>
        </w:rPr>
        <w:t>ю</w:t>
      </w:r>
      <w:r>
        <w:rPr>
          <w:rFonts w:eastAsiaTheme="minorHAnsi"/>
        </w:rPr>
        <w:t xml:space="preserve"> к ионизирующему излучению и химическому воздействию. Торий не образует нестехиометричных оксидов и не чувствителен к окислительно-восстановительным процессам (в отличие от других представителей ряда актинидов). Диоксид тория (</w:t>
      </w:r>
      <w:r>
        <w:rPr>
          <w:rFonts w:eastAsiaTheme="minorHAnsi"/>
          <w:lang w:val="en-US"/>
        </w:rPr>
        <w:t>ThO</w:t>
      </w:r>
      <w:r>
        <w:rPr>
          <w:rFonts w:eastAsiaTheme="minorHAnsi"/>
          <w:vertAlign w:val="subscript"/>
        </w:rPr>
        <w:t>2</w:t>
      </w:r>
      <w:r>
        <w:rPr>
          <w:rFonts w:eastAsiaTheme="minorHAnsi"/>
        </w:rPr>
        <w:t xml:space="preserve">) часто используется в качестве моновалентного аналога при исследовании диоксидов актинидов, так как они имеют кристаллическую структуру флюорита со схожими параметрами решетки. Именно поэтому исследование соединений тория позволяет не только углубить фундаментальные представления об этом элементе, но и с определённой степенью достоверности переносить полученные закономерности на остальные элементы группы. При создании безопасных мест захоронения РАО важным вопросом остаётся изучение процессов миграции актинидов на молекулярном уровне в окружающей среде. Фосфат-анионы существенно влияют на подвижность актинидов в окружающей среде, образуя с ними стабильные соединения с низкой растворимостью. Однако, структура и стабильность подобных соединений в литературе практически не представлена. Таким образом, целью данной работы является установление условий и механизма формирования двойных фосфатов тория при взаимодействии рентгено-аморфного (р/ам) </w:t>
      </w:r>
      <w:r>
        <w:rPr>
          <w:rFonts w:eastAsiaTheme="minorHAnsi"/>
          <w:lang w:val="en-US"/>
        </w:rPr>
        <w:t>ThO</w:t>
      </w:r>
      <w:r>
        <w:rPr>
          <w:rFonts w:eastAsiaTheme="minorHAnsi"/>
          <w:vertAlign w:val="subscript"/>
        </w:rPr>
        <w:t>2</w:t>
      </w:r>
      <w:r>
        <w:rPr>
          <w:rFonts w:eastAsiaTheme="minorHAnsi"/>
        </w:rPr>
        <w:t xml:space="preserve"> с фосфатными растворами.</w:t>
      </w:r>
    </w:p>
    <w:p w14:paraId="48144EF6" w14:textId="77777777" w:rsidR="005A2B5A" w:rsidRDefault="005A2B5A" w:rsidP="00340A02">
      <w:pPr>
        <w:pStyle w:val="aff2"/>
        <w:spacing w:line="240" w:lineRule="auto"/>
        <w:ind w:left="113" w:right="136" w:firstLine="397"/>
      </w:pPr>
      <w:r>
        <w:t xml:space="preserve">В рамках работы методом химического осаждения из раствора нитрата тория был получен р/ам </w:t>
      </w:r>
      <w:r>
        <w:rPr>
          <w:lang w:val="en-US"/>
        </w:rPr>
        <w:t>ThO</w:t>
      </w:r>
      <w:r>
        <w:rPr>
          <w:vertAlign w:val="subscript"/>
        </w:rPr>
        <w:t>2</w:t>
      </w:r>
      <w:r>
        <w:t xml:space="preserve">, старение которого было исследовано в растворах 0,01 М </w:t>
      </w:r>
      <w:r>
        <w:rPr>
          <w:lang w:val="en-US"/>
        </w:rPr>
        <w:t>NaClO</w:t>
      </w:r>
      <w:r>
        <w:rPr>
          <w:vertAlign w:val="subscript"/>
        </w:rPr>
        <w:t>4</w:t>
      </w:r>
      <w:r>
        <w:t xml:space="preserve"> в диапазоне рН 4-12. Структура полученных соединений была описана методами рентгеновской дифракции (РД), просвечивающей электронной микроскопией высокого разрешения (ПЭМВР) и рентгеновской фотоэлектронной спектроскопией (РФЭС). Установлено, что р/ам </w:t>
      </w:r>
      <w:r>
        <w:rPr>
          <w:lang w:val="en-US"/>
        </w:rPr>
        <w:t>ThO</w:t>
      </w:r>
      <w:r>
        <w:rPr>
          <w:vertAlign w:val="subscript"/>
        </w:rPr>
        <w:t>2</w:t>
      </w:r>
      <w:r>
        <w:t xml:space="preserve"> перекристаллизуется в нанокристаллический диоксид тория. С уменьшением значения pH наблюдается увеличение размера наночастиц до 10 нм.</w:t>
      </w:r>
    </w:p>
    <w:p w14:paraId="0841D362" w14:textId="7B4C0831" w:rsidR="00A519F3" w:rsidRPr="00D54048" w:rsidRDefault="005A2B5A" w:rsidP="00340A02">
      <w:pPr>
        <w:pStyle w:val="aff2"/>
        <w:spacing w:line="240" w:lineRule="auto"/>
        <w:ind w:left="113" w:right="136" w:firstLine="397"/>
        <w:rPr>
          <w:rStyle w:val="aff7"/>
        </w:rPr>
      </w:pPr>
      <w:r>
        <w:t xml:space="preserve">Для установления механизма формирования двойных фосфатов тория проводился ряд экспериментов по переформированию р/ам </w:t>
      </w:r>
      <w:r>
        <w:rPr>
          <w:lang w:val="en-US"/>
        </w:rPr>
        <w:t>ThO</w:t>
      </w:r>
      <w:r>
        <w:rPr>
          <w:vertAlign w:val="subscript"/>
        </w:rPr>
        <w:t>2</w:t>
      </w:r>
      <w:r>
        <w:t xml:space="preserve"> в фосфатных буферных растворах, в которых варьировалась концентрация фосфатов в диапазоне 0,1 М – 1 М. Использовались два метода синтеза: гидротермальная (ГТ) обработка в диапазоне температур 150-240°</w:t>
      </w:r>
      <w:r>
        <w:rPr>
          <w:lang w:val="en-US"/>
        </w:rPr>
        <w:t>C</w:t>
      </w:r>
      <w:r>
        <w:t xml:space="preserve"> и длительное старение при температурах 20</w:t>
      </w:r>
      <w:bookmarkStart w:id="0" w:name="_Hlk223354877"/>
      <w:r>
        <w:t>°</w:t>
      </w:r>
      <w:r>
        <w:rPr>
          <w:lang w:val="en-US"/>
        </w:rPr>
        <w:t>C</w:t>
      </w:r>
      <w:r>
        <w:t xml:space="preserve"> </w:t>
      </w:r>
      <w:bookmarkEnd w:id="0"/>
      <w:r>
        <w:t>и 40°</w:t>
      </w:r>
      <w:r>
        <w:rPr>
          <w:lang w:val="en-US"/>
        </w:rPr>
        <w:t>C</w:t>
      </w:r>
      <w:r>
        <w:t>. Результирующее соединение исследовалось методами РД, ПЭМВР, РФЭС, растровой электронной микроскопией и энергодисперсионным анализом. Основной фазой в экспериментах является двойной фосфат тория состава NaTh</w:t>
      </w:r>
      <w:r>
        <w:rPr>
          <w:vertAlign w:val="subscript"/>
        </w:rPr>
        <w:t>2</w:t>
      </w:r>
      <w:r>
        <w:t>(PO</w:t>
      </w:r>
      <w:r>
        <w:rPr>
          <w:vertAlign w:val="subscript"/>
        </w:rPr>
        <w:t>4</w:t>
      </w:r>
      <w:r>
        <w:t>)</w:t>
      </w:r>
      <w:r>
        <w:rPr>
          <w:vertAlign w:val="subscript"/>
        </w:rPr>
        <w:t>3</w:t>
      </w:r>
      <w:r>
        <w:t>, который кристаллизуется в моноклинной сингонии. Установлено, что в случае ГТ обработки формирование двойного фосфата возможно только при концентрации фосфатов &gt; 1М. При старении диоксида тория при 40°</w:t>
      </w:r>
      <w:r>
        <w:rPr>
          <w:lang w:val="en-US"/>
        </w:rPr>
        <w:t>C</w:t>
      </w:r>
      <w:r w:rsidRPr="005A2B5A">
        <w:t xml:space="preserve"> </w:t>
      </w:r>
      <w:r>
        <w:t>полное переформирование происходит за месяц, в то время как при 20°</w:t>
      </w:r>
      <w:r>
        <w:rPr>
          <w:lang w:val="en-US"/>
        </w:rPr>
        <w:t>C</w:t>
      </w:r>
      <w:r>
        <w:t xml:space="preserve"> за 4 года наблюдались только небольшие структурные изменения. Стабильность соединения NaTh</w:t>
      </w:r>
      <w:r>
        <w:rPr>
          <w:vertAlign w:val="subscript"/>
        </w:rPr>
        <w:t>2</w:t>
      </w:r>
      <w:r>
        <w:t>(PO</w:t>
      </w:r>
      <w:r>
        <w:rPr>
          <w:vertAlign w:val="subscript"/>
        </w:rPr>
        <w:t>4</w:t>
      </w:r>
      <w:r>
        <w:t>)</w:t>
      </w:r>
      <w:r>
        <w:rPr>
          <w:vertAlign w:val="subscript"/>
        </w:rPr>
        <w:t>3</w:t>
      </w:r>
      <w:r>
        <w:t xml:space="preserve"> устанавливалась в экспериментах по исследованию растворимости двойного фосфата тория в режиме недонасыщения в 0,01 М фосфатном буфере при температуре 20°</w:t>
      </w:r>
      <w:r>
        <w:rPr>
          <w:lang w:val="en-US"/>
        </w:rPr>
        <w:t>C</w:t>
      </w:r>
      <w:r>
        <w:t xml:space="preserve"> в диапазоне рН 5-8. Концентрация фосфатов и тория контролировалась методом масс-спектрометрии с индуктивно-связанной плазмой. Установлено, что соединение NaTh</w:t>
      </w:r>
      <w:r>
        <w:rPr>
          <w:vertAlign w:val="subscript"/>
        </w:rPr>
        <w:t>2</w:t>
      </w:r>
      <w:r>
        <w:t>(PO</w:t>
      </w:r>
      <w:r>
        <w:rPr>
          <w:vertAlign w:val="subscript"/>
        </w:rPr>
        <w:t>4</w:t>
      </w:r>
      <w:r>
        <w:t>)</w:t>
      </w:r>
      <w:r>
        <w:rPr>
          <w:vertAlign w:val="subscript"/>
        </w:rPr>
        <w:t>3</w:t>
      </w:r>
      <w:r>
        <w:t xml:space="preserve"> обладает низкой растворимостью, что указывает на возможное потенциальное применение подобных фосфатных материалов при захоронении РАО.</w:t>
      </w:r>
    </w:p>
    <w:sectPr w:rsidR="00A519F3" w:rsidRPr="00D5404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09B0" w14:textId="77777777" w:rsidR="00131824" w:rsidRDefault="00131824">
      <w:r>
        <w:separator/>
      </w:r>
    </w:p>
  </w:endnote>
  <w:endnote w:type="continuationSeparator" w:id="0">
    <w:p w14:paraId="654B2362" w14:textId="77777777" w:rsidR="00131824" w:rsidRDefault="0013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1C64" w14:textId="77777777" w:rsidR="00131824" w:rsidRDefault="00131824">
      <w:r>
        <w:separator/>
      </w:r>
    </w:p>
  </w:footnote>
  <w:footnote w:type="continuationSeparator" w:id="0">
    <w:p w14:paraId="3A260BD6" w14:textId="77777777" w:rsidR="00131824" w:rsidRDefault="00131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7F"/>
    <w:rsid w:val="00007050"/>
    <w:rsid w:val="00082006"/>
    <w:rsid w:val="00092F48"/>
    <w:rsid w:val="000F3E21"/>
    <w:rsid w:val="00131824"/>
    <w:rsid w:val="001342FA"/>
    <w:rsid w:val="00141153"/>
    <w:rsid w:val="0014447C"/>
    <w:rsid w:val="001A2B30"/>
    <w:rsid w:val="001E0808"/>
    <w:rsid w:val="00221DD0"/>
    <w:rsid w:val="00247D7A"/>
    <w:rsid w:val="00250287"/>
    <w:rsid w:val="002520E8"/>
    <w:rsid w:val="00255663"/>
    <w:rsid w:val="002721CC"/>
    <w:rsid w:val="002927DB"/>
    <w:rsid w:val="002B57A8"/>
    <w:rsid w:val="002F7604"/>
    <w:rsid w:val="00303E12"/>
    <w:rsid w:val="003149C0"/>
    <w:rsid w:val="00340A02"/>
    <w:rsid w:val="00374D96"/>
    <w:rsid w:val="003867DE"/>
    <w:rsid w:val="003932CC"/>
    <w:rsid w:val="003A360C"/>
    <w:rsid w:val="003B27AE"/>
    <w:rsid w:val="00412860"/>
    <w:rsid w:val="0045621E"/>
    <w:rsid w:val="004A0AE8"/>
    <w:rsid w:val="004B2A89"/>
    <w:rsid w:val="004D6B3B"/>
    <w:rsid w:val="004E1EFC"/>
    <w:rsid w:val="004F3AD3"/>
    <w:rsid w:val="0050437F"/>
    <w:rsid w:val="00552F9F"/>
    <w:rsid w:val="00595A6D"/>
    <w:rsid w:val="005A2B5A"/>
    <w:rsid w:val="005E5AD5"/>
    <w:rsid w:val="00622EFC"/>
    <w:rsid w:val="006357C1"/>
    <w:rsid w:val="00671416"/>
    <w:rsid w:val="00675F13"/>
    <w:rsid w:val="006C26C6"/>
    <w:rsid w:val="006C5578"/>
    <w:rsid w:val="00700B54"/>
    <w:rsid w:val="0071112A"/>
    <w:rsid w:val="007477C0"/>
    <w:rsid w:val="007703C5"/>
    <w:rsid w:val="007A602C"/>
    <w:rsid w:val="007A700A"/>
    <w:rsid w:val="007F64F3"/>
    <w:rsid w:val="007F6689"/>
    <w:rsid w:val="007F69E3"/>
    <w:rsid w:val="008104E0"/>
    <w:rsid w:val="008502EE"/>
    <w:rsid w:val="0085102F"/>
    <w:rsid w:val="00853EF9"/>
    <w:rsid w:val="008C0FE6"/>
    <w:rsid w:val="008F467A"/>
    <w:rsid w:val="00925AAD"/>
    <w:rsid w:val="00953C08"/>
    <w:rsid w:val="0097152A"/>
    <w:rsid w:val="009767D9"/>
    <w:rsid w:val="00993A60"/>
    <w:rsid w:val="00997AEA"/>
    <w:rsid w:val="00A04ACA"/>
    <w:rsid w:val="00A13D4F"/>
    <w:rsid w:val="00A16362"/>
    <w:rsid w:val="00A26EC5"/>
    <w:rsid w:val="00A30BA5"/>
    <w:rsid w:val="00A3241D"/>
    <w:rsid w:val="00A36080"/>
    <w:rsid w:val="00A519F3"/>
    <w:rsid w:val="00A51B4E"/>
    <w:rsid w:val="00A54AC2"/>
    <w:rsid w:val="00A5689F"/>
    <w:rsid w:val="00A9540B"/>
    <w:rsid w:val="00AA7478"/>
    <w:rsid w:val="00AF463C"/>
    <w:rsid w:val="00B0133D"/>
    <w:rsid w:val="00B137B1"/>
    <w:rsid w:val="00B2488C"/>
    <w:rsid w:val="00B354F1"/>
    <w:rsid w:val="00B758B7"/>
    <w:rsid w:val="00BA4699"/>
    <w:rsid w:val="00C1116E"/>
    <w:rsid w:val="00CB7AF1"/>
    <w:rsid w:val="00CE6C80"/>
    <w:rsid w:val="00D012C6"/>
    <w:rsid w:val="00D06756"/>
    <w:rsid w:val="00D15435"/>
    <w:rsid w:val="00D54048"/>
    <w:rsid w:val="00DA5A86"/>
    <w:rsid w:val="00DD768D"/>
    <w:rsid w:val="00DF5CC4"/>
    <w:rsid w:val="00E10FC4"/>
    <w:rsid w:val="00E972D8"/>
    <w:rsid w:val="00EB4D85"/>
    <w:rsid w:val="00ED6A0F"/>
    <w:rsid w:val="00EE3426"/>
    <w:rsid w:val="00F144EA"/>
    <w:rsid w:val="00F32144"/>
    <w:rsid w:val="00F41AE5"/>
    <w:rsid w:val="00F619C2"/>
    <w:rsid w:val="00F75B7F"/>
    <w:rsid w:val="00F94485"/>
    <w:rsid w:val="00FA3ED6"/>
    <w:rsid w:val="00FB15F1"/>
    <w:rsid w:val="00FF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6BB9"/>
  <w15:docId w15:val="{308C92D9-E3C2-4CBE-AAF1-C1AD3A84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Batang"/>
      <w:sz w:val="24"/>
      <w:szCs w:val="22"/>
      <w:lang w:val="en-US" w:eastAsia="en-US" w:bidi="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af4">
    <w:name w:val="Текст концевой сноски Знак"/>
    <w:link w:val="af5"/>
    <w:rPr>
      <w:lang w:val="es-ES" w:eastAsia="es-ES" w:bidi="ar-SA"/>
    </w:rPr>
  </w:style>
  <w:style w:type="paragraph" w:styleId="af5">
    <w:name w:val="endnote text"/>
    <w:basedOn w:val="a"/>
    <w:link w:val="af4"/>
    <w:pPr>
      <w:spacing w:after="0" w:line="240" w:lineRule="auto"/>
    </w:pPr>
    <w:rPr>
      <w:rFonts w:eastAsia="Times New Roman"/>
      <w:sz w:val="20"/>
      <w:szCs w:val="20"/>
      <w:lang w:val="es-ES" w:eastAsia="es-ES" w:bidi="ar-SA"/>
    </w:rPr>
  </w:style>
  <w:style w:type="character" w:styleId="af6">
    <w:name w:val="endnote reference"/>
    <w:semiHidden/>
    <w:rPr>
      <w:rFonts w:cs="Times New Roman"/>
      <w:vertAlign w:val="superscript"/>
    </w:rPr>
  </w:style>
  <w:style w:type="character" w:styleId="af7">
    <w:name w:val="Hyperlink"/>
    <w:rPr>
      <w:color w:val="0000FF"/>
      <w:u w:val="single"/>
    </w:rPr>
  </w:style>
  <w:style w:type="paragraph" w:styleId="af8">
    <w:name w:val="List Paragraph"/>
    <w:basedOn w:val="a"/>
    <w:uiPriority w:val="34"/>
    <w:qFormat/>
    <w:pPr>
      <w:ind w:left="720"/>
      <w:contextualSpacing/>
    </w:pPr>
    <w:rPr>
      <w:rFonts w:ascii="Calibri" w:eastAsia="Calibri" w:hAnsi="Calibri"/>
      <w:lang w:val="ru-RU" w:bidi="ar-SA"/>
    </w:rPr>
  </w:style>
  <w:style w:type="paragraph" w:customStyle="1" w:styleId="Org-TimesNew12">
    <w:name w:val="Org-Times_New_12"/>
    <w:pPr>
      <w:tabs>
        <w:tab w:val="right" w:pos="9072"/>
      </w:tabs>
      <w:jc w:val="center"/>
    </w:pPr>
    <w:rPr>
      <w:i/>
      <w:sz w:val="24"/>
      <w:szCs w:val="24"/>
      <w:lang w:eastAsia="en-US"/>
    </w:r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a">
    <w:name w:val="Заголовок_тезисов"/>
    <w:basedOn w:val="a"/>
    <w:link w:val="afb"/>
    <w:qFormat/>
    <w:pPr>
      <w:spacing w:after="0" w:line="360" w:lineRule="auto"/>
      <w:ind w:right="-1"/>
      <w:jc w:val="center"/>
    </w:pPr>
    <w:rPr>
      <w:rFonts w:eastAsia="Times New Roman" w:cs="Arial"/>
      <w:b/>
      <w:caps/>
      <w:sz w:val="28"/>
      <w:szCs w:val="28"/>
      <w:lang w:val="ru-RU" w:eastAsia="ru-RU"/>
    </w:rPr>
  </w:style>
  <w:style w:type="paragraph" w:customStyle="1" w:styleId="afc">
    <w:name w:val="Докладчик"/>
    <w:basedOn w:val="afd"/>
    <w:link w:val="afe"/>
    <w:qFormat/>
    <w:rPr>
      <w:i w:val="0"/>
      <w:iCs/>
      <w:u w:val="single"/>
    </w:rPr>
  </w:style>
  <w:style w:type="character" w:customStyle="1" w:styleId="afb">
    <w:name w:val="Заголовок_тезисов Знак"/>
    <w:link w:val="afa"/>
    <w:rPr>
      <w:rFonts w:cs="Arial"/>
      <w:b/>
      <w:caps/>
      <w:sz w:val="28"/>
      <w:szCs w:val="28"/>
      <w:lang w:val="ru-RU" w:eastAsia="ru-RU" w:bidi="en-US"/>
    </w:rPr>
  </w:style>
  <w:style w:type="paragraph" w:customStyle="1" w:styleId="afd">
    <w:name w:val="Авторы_тезисы"/>
    <w:basedOn w:val="a"/>
    <w:link w:val="aff"/>
    <w:qFormat/>
    <w:pPr>
      <w:spacing w:after="0" w:line="360" w:lineRule="auto"/>
      <w:ind w:right="-1"/>
      <w:jc w:val="center"/>
    </w:pPr>
    <w:rPr>
      <w:rFonts w:cs="Arial"/>
      <w:i/>
      <w:szCs w:val="24"/>
      <w:lang w:val="ru-RU"/>
    </w:rPr>
  </w:style>
  <w:style w:type="character" w:customStyle="1" w:styleId="afe">
    <w:name w:val="Докладчик Знак"/>
    <w:link w:val="afc"/>
    <w:rPr>
      <w:rFonts w:eastAsia="Batang" w:cs="Arial"/>
      <w:iCs/>
      <w:sz w:val="24"/>
      <w:szCs w:val="24"/>
      <w:u w:val="single"/>
      <w:lang w:val="ru-RU" w:eastAsia="en-US" w:bidi="en-US"/>
    </w:rPr>
  </w:style>
  <w:style w:type="paragraph" w:customStyle="1" w:styleId="aff0">
    <w:name w:val="Место_работы_тезисы"/>
    <w:basedOn w:val="afd"/>
    <w:link w:val="aff1"/>
    <w:qFormat/>
    <w:rPr>
      <w:i w:val="0"/>
    </w:rPr>
  </w:style>
  <w:style w:type="character" w:customStyle="1" w:styleId="aff">
    <w:name w:val="Авторы_тезисы Знак"/>
    <w:link w:val="afd"/>
    <w:rPr>
      <w:rFonts w:eastAsia="Batang" w:cs="Arial"/>
      <w:i/>
      <w:sz w:val="24"/>
      <w:szCs w:val="24"/>
      <w:lang w:val="ru-RU" w:eastAsia="en-US" w:bidi="en-US"/>
    </w:rPr>
  </w:style>
  <w:style w:type="paragraph" w:customStyle="1" w:styleId="E-mail">
    <w:name w:val="E-mail_тезисы"/>
    <w:basedOn w:val="a"/>
    <w:link w:val="E-mail0"/>
    <w:qFormat/>
    <w:pPr>
      <w:spacing w:after="0" w:line="360" w:lineRule="auto"/>
      <w:ind w:right="-1"/>
      <w:jc w:val="center"/>
    </w:pPr>
    <w:rPr>
      <w:rFonts w:cs="Arial"/>
      <w:szCs w:val="24"/>
    </w:rPr>
  </w:style>
  <w:style w:type="character" w:customStyle="1" w:styleId="aff1">
    <w:name w:val="Место_работы_тезисы Знак"/>
    <w:link w:val="aff0"/>
    <w:rPr>
      <w:rFonts w:ascii="Arial" w:eastAsia="Batang" w:hAnsi="Arial" w:cs="Arial"/>
      <w:i w:val="0"/>
      <w:sz w:val="24"/>
      <w:szCs w:val="24"/>
      <w:lang w:eastAsia="en-US" w:bidi="en-US"/>
    </w:rPr>
  </w:style>
  <w:style w:type="paragraph" w:customStyle="1" w:styleId="aff2">
    <w:name w:val="Текст_тезисы"/>
    <w:basedOn w:val="a"/>
    <w:link w:val="aff3"/>
    <w:qFormat/>
    <w:pPr>
      <w:spacing w:after="0" w:line="360" w:lineRule="auto"/>
      <w:ind w:right="-1" w:firstLine="567"/>
      <w:jc w:val="both"/>
    </w:pPr>
    <w:rPr>
      <w:rFonts w:cs="Arial"/>
      <w:color w:val="000000"/>
      <w:szCs w:val="24"/>
      <w:lang w:val="ru-RU"/>
    </w:rPr>
  </w:style>
  <w:style w:type="character" w:customStyle="1" w:styleId="E-mail0">
    <w:name w:val="E-mail_тезисы Знак"/>
    <w:link w:val="E-mail"/>
    <w:rPr>
      <w:rFonts w:eastAsia="Batang" w:cs="Arial"/>
      <w:sz w:val="24"/>
      <w:szCs w:val="24"/>
      <w:lang w:val="en-US" w:eastAsia="en-US" w:bidi="en-US"/>
    </w:rPr>
  </w:style>
  <w:style w:type="paragraph" w:customStyle="1" w:styleId="aff4">
    <w:name w:val="Подпись_рисунка_тезисы"/>
    <w:basedOn w:val="a"/>
    <w:link w:val="aff5"/>
    <w:qFormat/>
    <w:pPr>
      <w:spacing w:after="0" w:line="360" w:lineRule="auto"/>
      <w:ind w:right="-1"/>
      <w:jc w:val="center"/>
    </w:pPr>
    <w:rPr>
      <w:rFonts w:cs="Arial"/>
      <w:color w:val="000000"/>
      <w:szCs w:val="24"/>
      <w:lang w:val="ru-RU"/>
    </w:rPr>
  </w:style>
  <w:style w:type="character" w:customStyle="1" w:styleId="aff3">
    <w:name w:val="Текст_тезисы Знак"/>
    <w:link w:val="aff2"/>
    <w:rPr>
      <w:rFonts w:eastAsia="Batang" w:cs="Arial"/>
      <w:color w:val="000000"/>
      <w:sz w:val="24"/>
      <w:szCs w:val="24"/>
      <w:lang w:val="ru-RU" w:eastAsia="en-US" w:bidi="en-US"/>
    </w:rPr>
  </w:style>
  <w:style w:type="paragraph" w:customStyle="1" w:styleId="aff6">
    <w:name w:val="Литература_тезисы"/>
    <w:basedOn w:val="a"/>
    <w:link w:val="aff7"/>
    <w:qFormat/>
    <w:pPr>
      <w:spacing w:after="0" w:line="360" w:lineRule="auto"/>
      <w:ind w:right="-1"/>
      <w:jc w:val="both"/>
    </w:pPr>
    <w:rPr>
      <w:rFonts w:cs="Arial"/>
      <w:szCs w:val="24"/>
      <w:lang w:val="ru-RU"/>
    </w:rPr>
  </w:style>
  <w:style w:type="character" w:customStyle="1" w:styleId="aff5">
    <w:name w:val="Подпись_рисунка_тезисы Знак"/>
    <w:link w:val="aff4"/>
    <w:rPr>
      <w:rFonts w:eastAsia="Batang" w:cs="Arial"/>
      <w:color w:val="000000"/>
      <w:sz w:val="24"/>
      <w:szCs w:val="24"/>
      <w:lang w:val="ru-RU" w:eastAsia="en-US" w:bidi="en-US"/>
    </w:rPr>
  </w:style>
  <w:style w:type="character" w:customStyle="1" w:styleId="aff7">
    <w:name w:val="Литература_тезисы Знак"/>
    <w:link w:val="aff6"/>
    <w:rPr>
      <w:rFonts w:eastAsia="Batang" w:cs="Arial"/>
      <w:sz w:val="24"/>
      <w:szCs w:val="24"/>
      <w:lang w:val="ru-RU" w:eastAsia="en-US" w:bidi="en-US"/>
    </w:rPr>
  </w:style>
  <w:style w:type="character" w:styleId="aff8">
    <w:name w:val="Unresolved Mention"/>
    <w:basedOn w:val="a0"/>
    <w:uiPriority w:val="99"/>
    <w:semiHidden/>
    <w:unhideWhenUsed/>
    <w:rsid w:val="009767D9"/>
    <w:rPr>
      <w:color w:val="605E5C"/>
      <w:shd w:val="clear" w:color="auto" w:fill="E1DFDD"/>
    </w:rPr>
  </w:style>
  <w:style w:type="paragraph" w:styleId="aff9">
    <w:name w:val="Revision"/>
    <w:hidden/>
    <w:uiPriority w:val="99"/>
    <w:semiHidden/>
    <w:rsid w:val="002721CC"/>
    <w:rPr>
      <w:rFonts w:eastAsia="Batang"/>
      <w:sz w:val="24"/>
      <w:szCs w:val="22"/>
      <w:lang w:val="en-US" w:eastAsia="en-US" w:bidi="en-US"/>
    </w:rPr>
  </w:style>
  <w:style w:type="character" w:styleId="affa">
    <w:name w:val="annotation reference"/>
    <w:basedOn w:val="a0"/>
    <w:uiPriority w:val="99"/>
    <w:semiHidden/>
    <w:unhideWhenUsed/>
    <w:rsid w:val="002721CC"/>
    <w:rPr>
      <w:sz w:val="16"/>
      <w:szCs w:val="16"/>
    </w:rPr>
  </w:style>
  <w:style w:type="paragraph" w:styleId="affb">
    <w:name w:val="annotation text"/>
    <w:basedOn w:val="a"/>
    <w:link w:val="affc"/>
    <w:uiPriority w:val="99"/>
    <w:semiHidden/>
    <w:unhideWhenUsed/>
    <w:rsid w:val="002721CC"/>
    <w:pPr>
      <w:spacing w:line="240" w:lineRule="auto"/>
    </w:pPr>
    <w:rPr>
      <w:sz w:val="20"/>
      <w:szCs w:val="20"/>
    </w:rPr>
  </w:style>
  <w:style w:type="character" w:customStyle="1" w:styleId="affc">
    <w:name w:val="Текст примечания Знак"/>
    <w:basedOn w:val="a0"/>
    <w:link w:val="affb"/>
    <w:uiPriority w:val="99"/>
    <w:semiHidden/>
    <w:rsid w:val="002721CC"/>
    <w:rPr>
      <w:rFonts w:eastAsia="Batang"/>
      <w:lang w:val="en-US" w:eastAsia="en-US" w:bidi="en-US"/>
    </w:rPr>
  </w:style>
  <w:style w:type="paragraph" w:styleId="affd">
    <w:name w:val="annotation subject"/>
    <w:basedOn w:val="affb"/>
    <w:next w:val="affb"/>
    <w:link w:val="affe"/>
    <w:uiPriority w:val="99"/>
    <w:semiHidden/>
    <w:unhideWhenUsed/>
    <w:rsid w:val="002721CC"/>
    <w:rPr>
      <w:b/>
      <w:bCs/>
    </w:rPr>
  </w:style>
  <w:style w:type="character" w:customStyle="1" w:styleId="affe">
    <w:name w:val="Тема примечания Знак"/>
    <w:basedOn w:val="affc"/>
    <w:link w:val="affd"/>
    <w:uiPriority w:val="99"/>
    <w:semiHidden/>
    <w:rsid w:val="002721CC"/>
    <w:rPr>
      <w:rFonts w:eastAsia="Batang"/>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4908">
      <w:bodyDiv w:val="1"/>
      <w:marLeft w:val="0"/>
      <w:marRight w:val="0"/>
      <w:marTop w:val="0"/>
      <w:marBottom w:val="0"/>
      <w:divBdr>
        <w:top w:val="none" w:sz="0" w:space="0" w:color="auto"/>
        <w:left w:val="none" w:sz="0" w:space="0" w:color="auto"/>
        <w:bottom w:val="none" w:sz="0" w:space="0" w:color="auto"/>
        <w:right w:val="none" w:sz="0" w:space="0" w:color="auto"/>
      </w:divBdr>
    </w:div>
    <w:div w:id="556204160">
      <w:bodyDiv w:val="1"/>
      <w:marLeft w:val="0"/>
      <w:marRight w:val="0"/>
      <w:marTop w:val="0"/>
      <w:marBottom w:val="0"/>
      <w:divBdr>
        <w:top w:val="none" w:sz="0" w:space="0" w:color="auto"/>
        <w:left w:val="none" w:sz="0" w:space="0" w:color="auto"/>
        <w:bottom w:val="none" w:sz="0" w:space="0" w:color="auto"/>
        <w:right w:val="none" w:sz="0" w:space="0" w:color="auto"/>
      </w:divBdr>
    </w:div>
    <w:div w:id="759107932">
      <w:bodyDiv w:val="1"/>
      <w:marLeft w:val="0"/>
      <w:marRight w:val="0"/>
      <w:marTop w:val="0"/>
      <w:marBottom w:val="0"/>
      <w:divBdr>
        <w:top w:val="none" w:sz="0" w:space="0" w:color="auto"/>
        <w:left w:val="none" w:sz="0" w:space="0" w:color="auto"/>
        <w:bottom w:val="none" w:sz="0" w:space="0" w:color="auto"/>
        <w:right w:val="none" w:sz="0" w:space="0" w:color="auto"/>
      </w:divBdr>
    </w:div>
    <w:div w:id="793017511">
      <w:bodyDiv w:val="1"/>
      <w:marLeft w:val="0"/>
      <w:marRight w:val="0"/>
      <w:marTop w:val="0"/>
      <w:marBottom w:val="0"/>
      <w:divBdr>
        <w:top w:val="none" w:sz="0" w:space="0" w:color="auto"/>
        <w:left w:val="none" w:sz="0" w:space="0" w:color="auto"/>
        <w:bottom w:val="none" w:sz="0" w:space="0" w:color="auto"/>
        <w:right w:val="none" w:sz="0" w:space="0" w:color="auto"/>
      </w:divBdr>
    </w:div>
    <w:div w:id="1008868751">
      <w:bodyDiv w:val="1"/>
      <w:marLeft w:val="0"/>
      <w:marRight w:val="0"/>
      <w:marTop w:val="0"/>
      <w:marBottom w:val="0"/>
      <w:divBdr>
        <w:top w:val="none" w:sz="0" w:space="0" w:color="auto"/>
        <w:left w:val="none" w:sz="0" w:space="0" w:color="auto"/>
        <w:bottom w:val="none" w:sz="0" w:space="0" w:color="auto"/>
        <w:right w:val="none" w:sz="0" w:space="0" w:color="auto"/>
      </w:divBdr>
    </w:div>
    <w:div w:id="1058242298">
      <w:bodyDiv w:val="1"/>
      <w:marLeft w:val="0"/>
      <w:marRight w:val="0"/>
      <w:marTop w:val="0"/>
      <w:marBottom w:val="0"/>
      <w:divBdr>
        <w:top w:val="none" w:sz="0" w:space="0" w:color="auto"/>
        <w:left w:val="none" w:sz="0" w:space="0" w:color="auto"/>
        <w:bottom w:val="none" w:sz="0" w:space="0" w:color="auto"/>
        <w:right w:val="none" w:sz="0" w:space="0" w:color="auto"/>
      </w:divBdr>
    </w:div>
    <w:div w:id="1344550728">
      <w:bodyDiv w:val="1"/>
      <w:marLeft w:val="0"/>
      <w:marRight w:val="0"/>
      <w:marTop w:val="0"/>
      <w:marBottom w:val="0"/>
      <w:divBdr>
        <w:top w:val="none" w:sz="0" w:space="0" w:color="auto"/>
        <w:left w:val="none" w:sz="0" w:space="0" w:color="auto"/>
        <w:bottom w:val="none" w:sz="0" w:space="0" w:color="auto"/>
        <w:right w:val="none" w:sz="0" w:space="0" w:color="auto"/>
      </w:divBdr>
    </w:div>
    <w:div w:id="1404989594">
      <w:bodyDiv w:val="1"/>
      <w:marLeft w:val="0"/>
      <w:marRight w:val="0"/>
      <w:marTop w:val="0"/>
      <w:marBottom w:val="0"/>
      <w:divBdr>
        <w:top w:val="none" w:sz="0" w:space="0" w:color="auto"/>
        <w:left w:val="none" w:sz="0" w:space="0" w:color="auto"/>
        <w:bottom w:val="none" w:sz="0" w:space="0" w:color="auto"/>
        <w:right w:val="none" w:sz="0" w:space="0" w:color="auto"/>
      </w:divBdr>
    </w:div>
    <w:div w:id="1579438326">
      <w:bodyDiv w:val="1"/>
      <w:marLeft w:val="0"/>
      <w:marRight w:val="0"/>
      <w:marTop w:val="0"/>
      <w:marBottom w:val="0"/>
      <w:divBdr>
        <w:top w:val="none" w:sz="0" w:space="0" w:color="auto"/>
        <w:left w:val="none" w:sz="0" w:space="0" w:color="auto"/>
        <w:bottom w:val="none" w:sz="0" w:space="0" w:color="auto"/>
        <w:right w:val="none" w:sz="0" w:space="0" w:color="auto"/>
      </w:divBdr>
    </w:div>
    <w:div w:id="1648123508">
      <w:bodyDiv w:val="1"/>
      <w:marLeft w:val="0"/>
      <w:marRight w:val="0"/>
      <w:marTop w:val="0"/>
      <w:marBottom w:val="0"/>
      <w:divBdr>
        <w:top w:val="none" w:sz="0" w:space="0" w:color="auto"/>
        <w:left w:val="none" w:sz="0" w:space="0" w:color="auto"/>
        <w:bottom w:val="none" w:sz="0" w:space="0" w:color="auto"/>
        <w:right w:val="none" w:sz="0" w:space="0" w:color="auto"/>
      </w:divBdr>
    </w:div>
    <w:div w:id="20918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905B6-5B61-454C-B600-22E49CFC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566</Words>
  <Characters>3227</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Тезисы</vt:lpstr>
      <vt:lpstr>Тезисы</vt:lpstr>
    </vt:vector>
  </TitlesOfParts>
  <Company>Reanimator Extreme Edition</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Тезисы</dc:title>
  <dc:subject>Тезисы доклада</dc:subject>
  <dc:creator>Привалов А.И.</dc:creator>
  <cp:keywords/>
  <cp:lastModifiedBy>Yuri Teterin</cp:lastModifiedBy>
  <cp:revision>4</cp:revision>
  <dcterms:created xsi:type="dcterms:W3CDTF">2026-03-02T22:27:00Z</dcterms:created>
  <dcterms:modified xsi:type="dcterms:W3CDTF">2026-03-17T07:15:00Z</dcterms:modified>
</cp:coreProperties>
</file>