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Сравнение эффективности цеолитов для улавливания 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[</w:t>
      </w:r>
      <w:r>
        <w:rPr>
          <w:b w:val="1"/>
          <w:bCs w:val="1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11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C]CO</w:t>
      </w:r>
      <w:r>
        <w:rPr>
          <w:b w:val="1"/>
          <w:bCs w:val="1"/>
          <w:outline w:val="0"/>
          <w:color w:val="000000"/>
          <w:u w:color="000000"/>
          <w:vertAlign w:val="subscript"/>
          <w:rtl w:val="0"/>
          <w:lang w:val="ru-RU"/>
          <w14:textFill>
            <w14:solidFill>
              <w14:srgbClr w14:val="000000"/>
            </w14:solidFill>
          </w14:textFill>
        </w:rPr>
        <w:t>2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​ при синтезе радиофармацевтических лекарственных препаратов</w:t>
      </w:r>
    </w:p>
    <w:p>
      <w:pPr>
        <w:pStyle w:val="Normal.0"/>
        <w:jc w:val="center"/>
        <w:rPr>
          <w:b w:val="1"/>
          <w:bCs w:val="1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Лукина В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.,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Хромеева М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center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Химик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технолог</w:t>
      </w:r>
    </w:p>
    <w:p>
      <w:pPr>
        <w:pStyle w:val="Normal.0"/>
        <w:jc w:val="center"/>
        <w:rPr>
          <w:i w:val="1"/>
          <w:iCs w:val="1"/>
          <w:spacing w:val="0"/>
        </w:rPr>
      </w:pPr>
      <w:r>
        <w:rPr>
          <w:i w:val="1"/>
          <w:iCs w:val="1"/>
          <w:rtl w:val="0"/>
          <w:lang w:val="ru-RU"/>
        </w:rPr>
        <w:t>Институт мозга человека имени Н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П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Бехтеревой РАН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Лаборатория радиохимии</w:t>
      </w:r>
      <w:r>
        <w:rPr>
          <w:i w:val="1"/>
          <w:iCs w:val="1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i w:val="1"/>
          <w:iCs w:val="1"/>
          <w:spacing w:val="0"/>
          <w:rtl w:val="0"/>
          <w:lang w:val="ru-RU"/>
        </w:rPr>
        <w:t>Санкт</w:t>
      </w:r>
      <w:r>
        <w:rPr>
          <w:i w:val="1"/>
          <w:iCs w:val="1"/>
          <w:spacing w:val="0"/>
          <w:rtl w:val="0"/>
          <w:lang w:val="ru-RU"/>
        </w:rPr>
        <w:t>-</w:t>
      </w:r>
      <w:r>
        <w:rPr>
          <w:i w:val="1"/>
          <w:iCs w:val="1"/>
          <w:spacing w:val="0"/>
          <w:rtl w:val="0"/>
          <w:lang w:val="ru-RU"/>
        </w:rPr>
        <w:t>Петербург</w:t>
      </w:r>
      <w:r>
        <w:rPr>
          <w:i w:val="1"/>
          <w:iCs w:val="1"/>
          <w:spacing w:val="0"/>
          <w:rtl w:val="0"/>
          <w:lang w:val="ru-RU"/>
        </w:rPr>
        <w:t xml:space="preserve">, </w:t>
      </w:r>
      <w:r>
        <w:rPr>
          <w:i w:val="1"/>
          <w:iCs w:val="1"/>
          <w:spacing w:val="0"/>
          <w:rtl w:val="0"/>
          <w:lang w:val="ru-RU"/>
        </w:rPr>
        <w:t>Россия</w:t>
      </w:r>
    </w:p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E-mail: </w:t>
      </w:r>
      <w:r>
        <w:rPr>
          <w:rStyle w:val="Hyperlink.0"/>
          <w:i w:val="1"/>
          <w:iCs w:val="1"/>
          <w:lang w:val="en-US"/>
        </w:rPr>
        <w:fldChar w:fldCharType="begin" w:fldLock="0"/>
      </w:r>
      <w:r>
        <w:rPr>
          <w:rStyle w:val="Hyperlink.0"/>
          <w:i w:val="1"/>
          <w:iCs w:val="1"/>
          <w:lang w:val="en-US"/>
        </w:rPr>
        <w:instrText xml:space="preserve"> HYPERLINK "mailto:vu_lu_2002@list.ru"</w:instrText>
      </w:r>
      <w:r>
        <w:rPr>
          <w:rStyle w:val="Hyperlink.0"/>
          <w:i w:val="1"/>
          <w:iCs w:val="1"/>
          <w:lang w:val="en-US"/>
        </w:rPr>
        <w:fldChar w:fldCharType="separate" w:fldLock="0"/>
      </w:r>
      <w:r>
        <w:rPr>
          <w:rStyle w:val="Hyperlink.0"/>
          <w:i w:val="1"/>
          <w:iCs w:val="1"/>
          <w:rtl w:val="0"/>
          <w:lang w:val="en-US"/>
        </w:rPr>
        <w:t>vu_lu_2002@list.ru</w:t>
      </w:r>
      <w:r>
        <w:rPr>
          <w:lang w:val="en-US"/>
        </w:rPr>
        <w:fldChar w:fldCharType="end" w:fldLock="0"/>
      </w:r>
      <w:r>
        <w:rPr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ind w:firstLine="397"/>
        <w:jc w:val="both"/>
        <w:rPr>
          <w:outline w:val="0"/>
          <w:color w:val="0f1115"/>
          <w:u w:color="0f1115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tl w:val="0"/>
          <w:lang w:val="ru-RU"/>
        </w:rPr>
        <w:t xml:space="preserve">Позитронная эмиссионная томография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ПЭТ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передовой метод ядерной медицины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использует радиофармацевтические лекарственные препараты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РФЛП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позволяет визуализировать биохимические процессы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происходящие в организме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Важнейшим РФЛП в диагностике церебральных глиом является </w:t>
      </w:r>
      <w:r>
        <w:rPr>
          <w:rtl w:val="0"/>
          <w:lang w:val="ru-RU"/>
        </w:rPr>
        <w:t>L-[</w:t>
      </w:r>
      <w:r>
        <w:rPr>
          <w:vertAlign w:val="superscript"/>
          <w:rtl w:val="0"/>
          <w:lang w:val="ru-RU"/>
        </w:rPr>
        <w:t>11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метил</w:t>
      </w:r>
      <w:r>
        <w:rPr>
          <w:rtl w:val="0"/>
          <w:lang w:val="ru-RU"/>
        </w:rPr>
        <w:t>]</w:t>
      </w:r>
      <w:r>
        <w:rPr>
          <w:rtl w:val="0"/>
          <w:lang w:val="ru-RU"/>
        </w:rPr>
        <w:t xml:space="preserve">метионин </w:t>
      </w:r>
      <w:r>
        <w:rPr>
          <w:rtl w:val="0"/>
          <w:lang w:val="ru-RU"/>
        </w:rPr>
        <w:t>([</w:t>
      </w:r>
      <w:r>
        <w:rPr>
          <w:vertAlign w:val="superscript"/>
          <w:rtl w:val="0"/>
          <w:lang w:val="ru-RU"/>
        </w:rPr>
        <w:t>11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]-</w:t>
      </w:r>
      <w:r>
        <w:rPr>
          <w:rtl w:val="0"/>
          <w:lang w:val="en-US"/>
        </w:rPr>
        <w:t>MET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меченный углеродом</w:t>
      </w:r>
      <w:r>
        <w:rPr>
          <w:rtl w:val="0"/>
          <w:lang w:val="ru-RU"/>
        </w:rPr>
        <w:t>-11 (T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₁</w:t>
      </w:r>
      <w:r>
        <w:rPr>
          <w:rtl w:val="0"/>
          <w:lang w:val="ru-RU"/>
        </w:rPr>
        <w:t>/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₂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= 20,4 </w:t>
      </w:r>
      <w:r>
        <w:rPr>
          <w:rtl w:val="0"/>
          <w:lang w:val="ru-RU"/>
        </w:rPr>
        <w:t>мин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 xml:space="preserve">Основным методом синтеза </w:t>
      </w:r>
      <w:r>
        <w:rPr>
          <w:rtl w:val="0"/>
          <w:lang w:val="ru-RU"/>
        </w:rPr>
        <w:t>[</w:t>
      </w:r>
      <w:r>
        <w:rPr>
          <w:vertAlign w:val="superscript"/>
          <w:rtl w:val="0"/>
          <w:lang w:val="ru-RU"/>
        </w:rPr>
        <w:t>11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]-</w:t>
      </w:r>
      <w:r>
        <w:rPr>
          <w:rtl w:val="0"/>
          <w:lang w:val="en-US"/>
        </w:rPr>
        <w:t>MET</w:t>
      </w:r>
      <w:r>
        <w:rPr>
          <w:rtl w:val="0"/>
          <w:lang w:val="ru-RU"/>
        </w:rPr>
        <w:t xml:space="preserve"> является реакция </w:t>
      </w:r>
      <w:r>
        <w:rPr>
          <w:rtl w:val="0"/>
          <w:lang w:val="ru-RU"/>
        </w:rPr>
        <w:t>S-</w:t>
      </w:r>
      <w:r>
        <w:rPr>
          <w:rtl w:val="0"/>
          <w:lang w:val="ru-RU"/>
        </w:rPr>
        <w:t xml:space="preserve">метилирования соли тиолактона </w:t>
        <w:br w:type="textWrapping"/>
      </w:r>
      <w:r>
        <w:rPr>
          <w:rtl w:val="0"/>
          <w:lang w:val="ru-RU"/>
        </w:rPr>
        <w:t>L-</w:t>
      </w:r>
      <w:r>
        <w:rPr>
          <w:rtl w:val="0"/>
          <w:lang w:val="ru-RU"/>
        </w:rPr>
        <w:t>гомоцистеина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которой метилирующим агентом является </w:t>
      </w:r>
      <w:r>
        <w:rPr>
          <w:rtl w:val="0"/>
          <w:lang w:val="ru-RU"/>
        </w:rPr>
        <w:t>[</w:t>
      </w:r>
      <w:r>
        <w:rPr>
          <w:vertAlign w:val="superscript"/>
          <w:rtl w:val="0"/>
          <w:lang w:val="ru-RU"/>
        </w:rPr>
        <w:t>11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]CH</w:t>
      </w:r>
      <w:r>
        <w:rPr>
          <w:vertAlign w:val="subscript"/>
          <w:rtl w:val="0"/>
          <w:lang w:val="ru-RU"/>
        </w:rPr>
        <w:t>3</w:t>
      </w:r>
      <w:r>
        <w:rPr>
          <w:rtl w:val="0"/>
          <w:lang w:val="ru-RU"/>
        </w:rPr>
        <w:t xml:space="preserve">I [1]. </w:t>
      </w:r>
      <w:r>
        <w:rPr>
          <w:rtl w:val="0"/>
          <w:lang w:val="ru-RU"/>
        </w:rPr>
        <w:t xml:space="preserve">В ИМЧ РАН </w:t>
      </w:r>
      <w:r>
        <w:rPr>
          <w:rtl w:val="0"/>
          <w:lang w:val="ru-RU"/>
        </w:rPr>
        <w:t>[</w:t>
      </w:r>
      <w:r>
        <w:rPr>
          <w:vertAlign w:val="superscript"/>
          <w:rtl w:val="0"/>
          <w:lang w:val="ru-RU"/>
        </w:rPr>
        <w:t>11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]CH</w:t>
      </w:r>
      <w:r>
        <w:rPr>
          <w:vertAlign w:val="subscript"/>
          <w:rtl w:val="0"/>
          <w:lang w:val="ru-RU"/>
        </w:rPr>
        <w:t>3</w:t>
      </w:r>
      <w:r>
        <w:rPr>
          <w:rtl w:val="0"/>
          <w:lang w:val="ru-RU"/>
        </w:rPr>
        <w:t xml:space="preserve">I </w:t>
      </w:r>
      <w:r>
        <w:rPr>
          <w:rtl w:val="0"/>
          <w:lang w:val="ru-RU"/>
        </w:rPr>
        <w:t>получают с помощью «мокрого» метода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основан на реакции восстановления </w:t>
      </w:r>
      <w:r>
        <w:rPr>
          <w:rtl w:val="0"/>
          <w:lang w:val="ru-RU"/>
        </w:rPr>
        <w:t>[</w:t>
      </w:r>
      <w:r>
        <w:rPr>
          <w:rtl w:val="0"/>
          <w:lang w:val="ru-RU"/>
        </w:rPr>
        <w:t>¹¹</w:t>
      </w:r>
      <w:r>
        <w:rPr>
          <w:rtl w:val="0"/>
          <w:lang w:val="ru-RU"/>
        </w:rPr>
        <w:t>C]CO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получаемого в газовой мишени циклотрона </w:t>
      </w:r>
      <w:r>
        <w:rPr>
          <w:rtl w:val="0"/>
          <w:lang w:val="ru-RU"/>
        </w:rPr>
        <w:t>(</w:t>
      </w:r>
      <w:r>
        <w:rPr>
          <w:vertAlign w:val="superscript"/>
          <w:rtl w:val="0"/>
          <w:lang w:val="ru-RU"/>
        </w:rPr>
        <w:t>14</w:t>
      </w:r>
      <w:r>
        <w:rPr>
          <w:rtl w:val="0"/>
          <w:lang w:val="ru-RU"/>
        </w:rPr>
        <w:t>N(p,</w:t>
      </w:r>
      <w:r>
        <w:rPr>
          <w:rtl w:val="0"/>
          <w:lang w:val="ru-RU"/>
        </w:rPr>
        <w:t>α</w:t>
      </w:r>
      <w:r>
        <w:rPr>
          <w:rtl w:val="0"/>
          <w:lang w:val="ru-RU"/>
        </w:rPr>
        <w:t>)</w:t>
      </w:r>
      <w:r>
        <w:rPr>
          <w:vertAlign w:val="superscript"/>
          <w:rtl w:val="0"/>
          <w:lang w:val="ru-RU"/>
        </w:rPr>
        <w:t xml:space="preserve"> 11</w:t>
      </w:r>
      <w:r>
        <w:rPr>
          <w:rtl w:val="0"/>
          <w:lang w:val="ru-RU"/>
        </w:rPr>
        <w:t xml:space="preserve">C), </w:t>
      </w:r>
      <w:r>
        <w:rPr>
          <w:rtl w:val="0"/>
          <w:lang w:val="ru-RU"/>
        </w:rPr>
        <w:t xml:space="preserve">алюмогидридом лития </w:t>
      </w:r>
      <w:r>
        <w:rPr>
          <w:rtl w:val="0"/>
          <w:lang w:val="ru-RU"/>
        </w:rPr>
        <w:t>(</w:t>
      </w:r>
      <w:r>
        <w:rPr>
          <w:rtl w:val="0"/>
          <w:lang w:val="en-US"/>
        </w:rPr>
        <w:t>LiAlH</w:t>
      </w:r>
      <w:r>
        <w:rPr>
          <w:vertAlign w:val="subscript"/>
          <w:rtl w:val="0"/>
          <w:lang w:val="ru-RU"/>
        </w:rPr>
        <w:t>4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с последующей конверсией образовавшегося </w:t>
      </w:r>
      <w:bookmarkStart w:name="_Hlk222830778" w:id="0"/>
      <w:r>
        <w:rPr>
          <w:rtl w:val="0"/>
          <w:lang w:val="ru-RU"/>
        </w:rPr>
        <w:t>[</w:t>
      </w:r>
      <w:r>
        <w:rPr>
          <w:vertAlign w:val="superscript"/>
          <w:rtl w:val="0"/>
          <w:lang w:val="ru-RU"/>
        </w:rPr>
        <w:t>11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]CH</w:t>
      </w:r>
      <w:r>
        <w:rPr>
          <w:vertAlign w:val="subscript"/>
          <w:rtl w:val="0"/>
          <w:lang w:val="ru-RU"/>
        </w:rPr>
        <w:t>3</w:t>
      </w:r>
      <w:r>
        <w:rPr>
          <w:rtl w:val="0"/>
          <w:lang w:val="en-US"/>
        </w:rPr>
        <w:t>OLi</w:t>
      </w:r>
      <w:bookmarkEnd w:id="0"/>
      <w:r>
        <w:rPr>
          <w:rtl w:val="0"/>
          <w:lang w:val="ru-RU"/>
        </w:rPr>
        <w:t xml:space="preserve"> в </w:t>
      </w:r>
      <w:r>
        <w:rPr>
          <w:rtl w:val="0"/>
          <w:lang w:val="ru-RU"/>
        </w:rPr>
        <w:t>[</w:t>
      </w:r>
      <w:r>
        <w:rPr>
          <w:vertAlign w:val="superscript"/>
          <w:rtl w:val="0"/>
          <w:lang w:val="ru-RU"/>
        </w:rPr>
        <w:t>11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]CH</w:t>
      </w:r>
      <w:r>
        <w:rPr>
          <w:vertAlign w:val="subscript"/>
          <w:rtl w:val="0"/>
          <w:lang w:val="ru-RU"/>
        </w:rPr>
        <w:t>3</w:t>
      </w:r>
      <w:r>
        <w:rPr>
          <w:rtl w:val="0"/>
          <w:lang w:val="en-US"/>
        </w:rPr>
        <w:t>OH</w:t>
      </w:r>
      <w:r>
        <w:rPr>
          <w:rtl w:val="0"/>
          <w:lang w:val="ru-RU"/>
        </w:rPr>
        <w:t xml:space="preserve"> и далее </w:t>
      </w:r>
      <w:r>
        <w:rPr>
          <w:rtl w:val="0"/>
          <w:lang w:val="ru-RU"/>
        </w:rPr>
        <w:t>[</w:t>
      </w:r>
      <w:r>
        <w:rPr>
          <w:vertAlign w:val="superscript"/>
          <w:rtl w:val="0"/>
          <w:lang w:val="ru-RU"/>
        </w:rPr>
        <w:t>11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]CH</w:t>
      </w:r>
      <w:r>
        <w:rPr>
          <w:vertAlign w:val="subscript"/>
          <w:rtl w:val="0"/>
          <w:lang w:val="ru-RU"/>
        </w:rPr>
        <w:t>3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 xml:space="preserve"> при нагревании с </w:t>
      </w:r>
      <w:r>
        <w:rPr>
          <w:rtl w:val="0"/>
          <w:lang w:val="en-US"/>
        </w:rPr>
        <w:t>HI</w:t>
      </w:r>
      <w:r>
        <w:rPr>
          <w:rtl w:val="0"/>
          <w:lang w:val="ru-RU"/>
        </w:rPr>
        <w:t xml:space="preserve"> (57% </w:t>
      </w:r>
      <w:r>
        <w:rPr>
          <w:rtl w:val="0"/>
          <w:lang w:val="ru-RU"/>
        </w:rPr>
        <w:t>водный раствор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 xml:space="preserve">Методом выделения и концентрирования </w:t>
      </w:r>
      <w:r>
        <w:rPr>
          <w:rtl w:val="0"/>
          <w:lang w:val="ru-RU"/>
        </w:rPr>
        <w:t>[</w:t>
      </w:r>
      <w:r>
        <w:rPr>
          <w:rtl w:val="0"/>
          <w:lang w:val="ru-RU"/>
        </w:rPr>
        <w:t>¹¹</w:t>
      </w:r>
      <w:r>
        <w:rPr>
          <w:rtl w:val="0"/>
          <w:lang w:val="ru-RU"/>
        </w:rPr>
        <w:t>C]CO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₂</w:t>
      </w:r>
      <w:r>
        <w:rPr>
          <w:rtl w:val="0"/>
          <w:lang w:val="ru-RU"/>
        </w:rPr>
        <w:t xml:space="preserve"> из облученной смеси газов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  <w:lang w:val="ru-RU"/>
        </w:rPr>
        <w:t>(99% N</w:t>
      </w:r>
      <w:r>
        <w:rPr>
          <w:vertAlign w:val="subscript"/>
          <w:rtl w:val="0"/>
          <w:lang w:val="ru-RU"/>
        </w:rPr>
        <w:t>2</w:t>
      </w:r>
      <w:r>
        <w:rPr>
          <w:rtl w:val="0"/>
          <w:lang w:val="ru-RU"/>
        </w:rPr>
        <w:t xml:space="preserve"> +1% O</w:t>
      </w:r>
      <w:r>
        <w:rPr>
          <w:vertAlign w:val="subscript"/>
          <w:rtl w:val="0"/>
          <w:lang w:val="ru-RU"/>
        </w:rPr>
        <w:t>2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является вымораживание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технически сложный процесс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требующий применения жидкого азота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недрение альтернативных </w:t>
      </w:r>
      <w:r>
        <w:rPr>
          <w:rtl w:val="0"/>
          <w:lang w:val="ru-RU"/>
        </w:rPr>
        <w:t>более простых в реализации методов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,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 частности применение молекулярных сит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,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представляет собой перспективное направление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,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позволяющее сделать РФЛП на основе углерода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-11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более доступными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.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Ранее был предложен метод селективного улавливания 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[</w:t>
      </w:r>
      <w:r>
        <w:rPr>
          <w:outline w:val="0"/>
          <w:color w:val="0f1115"/>
          <w:u w:color="0f1115"/>
          <w:shd w:val="clear" w:color="auto" w:fill="ffffff"/>
          <w:vertAlign w:val="superscript"/>
          <w:rtl w:val="0"/>
          <w:lang w:val="ru-RU"/>
          <w14:textFill>
            <w14:solidFill>
              <w14:srgbClr w14:val="0F1115"/>
            </w14:solidFill>
          </w14:textFill>
        </w:rPr>
        <w:t>11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C]</w:t>
      </w:r>
      <w:r>
        <w:rPr>
          <w:outline w:val="0"/>
          <w:color w:val="0f1115"/>
          <w:u w:color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C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O</w:t>
      </w:r>
      <w:r>
        <w:rPr>
          <w:outline w:val="0"/>
          <w:color w:val="0f1115"/>
          <w:u w:color="0f1115"/>
          <w:shd w:val="clear" w:color="auto" w:fill="ffffff"/>
          <w:vertAlign w:val="subscript"/>
          <w:rtl w:val="0"/>
          <w:lang w:val="ru-RU"/>
          <w14:textFill>
            <w14:solidFill>
              <w14:srgbClr w14:val="0F1115"/>
            </w14:solidFill>
          </w14:textFill>
        </w:rPr>
        <w:t>2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​ из газовых мишеней при комнатной температуре с использованием углеродных молекулярных сит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[2]. </w:t>
      </w:r>
      <w:r>
        <w:rPr>
          <w:rtl w:val="0"/>
          <w:lang w:val="ru-RU"/>
        </w:rPr>
        <w:t>Целью работы являлась проверка и сравнительная характеристика эффективности сорбции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десорбции </w:t>
      </w:r>
      <w:r>
        <w:rPr>
          <w:rtl w:val="0"/>
          <w:lang w:val="ru-RU"/>
        </w:rPr>
        <w:t>[</w:t>
      </w:r>
      <w:r>
        <w:rPr>
          <w:rtl w:val="0"/>
          <w:lang w:val="ru-RU"/>
        </w:rPr>
        <w:t>¹¹</w:t>
      </w:r>
      <w:r>
        <w:rPr>
          <w:rtl w:val="0"/>
          <w:lang w:val="ru-RU"/>
        </w:rPr>
        <w:t>C]CO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₂</w:t>
      </w:r>
      <w:r>
        <w:rPr>
          <w:rtl w:val="0"/>
          <w:lang w:val="ru-RU"/>
        </w:rPr>
        <w:t xml:space="preserve"> на цеолитах различной природы при различных температурных режимах с учетом радиоактивного распада</w:t>
      </w:r>
      <w:r>
        <w:rPr>
          <w:rtl w:val="0"/>
          <w:lang w:val="ru-RU"/>
        </w:rPr>
        <w:t>.</w:t>
      </w:r>
    </w:p>
    <w:p>
      <w:pPr>
        <w:pStyle w:val="Normal.0"/>
        <w:ind w:firstLine="397"/>
        <w:jc w:val="both"/>
        <w:rPr>
          <w:outline w:val="0"/>
          <w:color w:val="0f1115"/>
          <w:u w:color="0f1115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tl w:val="0"/>
          <w:lang w:val="ru-RU"/>
        </w:rPr>
        <w:t>В работе апробировались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 цеолиты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NaA (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«РеалСорб»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,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Россия и «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Zeochem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»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,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Швейцария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),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 также углеродные сита 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Darco (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«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Aldrich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»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,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 Америка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).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 </w:t>
      </w:r>
      <w:r>
        <w:rPr>
          <w:rtl w:val="0"/>
          <w:lang w:val="ru-RU"/>
        </w:rPr>
        <w:t xml:space="preserve">Эксперименты проводились на автоматизированном модуле синтеза </w:t>
      </w:r>
      <w:r>
        <w:rPr>
          <w:rtl w:val="0"/>
          <w:lang w:val="ru-RU"/>
        </w:rPr>
        <w:t xml:space="preserve">GE TRACERlab FX </w:t>
      </w:r>
      <w:r>
        <w:rPr>
          <w:rtl w:val="0"/>
          <w:lang w:val="en-US"/>
        </w:rPr>
        <w:t>C</w:t>
      </w:r>
      <w:r>
        <w:rPr>
          <w:rtl w:val="0"/>
          <w:lang w:val="ru-RU"/>
        </w:rPr>
        <w:t xml:space="preserve"> Pro.  </w:t>
      </w:r>
      <w:r>
        <w:rPr>
          <w:rtl w:val="0"/>
          <w:lang w:val="ru-RU"/>
        </w:rPr>
        <w:t xml:space="preserve">Облученный газ с </w:t>
      </w:r>
      <w:r>
        <w:rPr>
          <w:rtl w:val="0"/>
          <w:lang w:val="ru-RU"/>
        </w:rPr>
        <w:t>[</w:t>
      </w:r>
      <w:r>
        <w:rPr>
          <w:rtl w:val="0"/>
          <w:lang w:val="ru-RU"/>
        </w:rPr>
        <w:t>¹¹</w:t>
      </w:r>
      <w:r>
        <w:rPr>
          <w:rtl w:val="0"/>
          <w:lang w:val="ru-RU"/>
        </w:rPr>
        <w:t>C]CO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₂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(620-680 </w:t>
      </w:r>
      <w:r>
        <w:rPr>
          <w:rtl w:val="0"/>
          <w:lang w:val="ru-RU"/>
        </w:rPr>
        <w:t>мКи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пропускали через колонки с молекулярными ситами </w:t>
      </w:r>
      <w:r>
        <w:rPr>
          <w:rtl w:val="0"/>
          <w:lang w:val="ru-RU"/>
        </w:rPr>
        <w:t xml:space="preserve">0,7-0,8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, 60-120 mesh </w:t>
      </w:r>
      <w:r>
        <w:rPr>
          <w:rtl w:val="0"/>
          <w:lang w:val="ru-RU"/>
        </w:rPr>
        <w:t xml:space="preserve">при комнатной температуре со скоростью потока газа </w:t>
      </w:r>
      <w:r>
        <w:rPr>
          <w:rtl w:val="0"/>
          <w:lang w:val="ru-RU"/>
        </w:rPr>
        <w:t>N</w:t>
      </w:r>
      <w:r>
        <w:rPr>
          <w:vertAlign w:val="subscript"/>
          <w:rtl w:val="0"/>
          <w:lang w:val="ru-RU"/>
        </w:rPr>
        <w:t>2</w:t>
      </w:r>
      <w:r>
        <w:rPr>
          <w:rtl w:val="0"/>
          <w:lang w:val="ru-RU"/>
        </w:rPr>
        <w:t xml:space="preserve"> 20 </w:t>
      </w:r>
      <w:r>
        <w:rPr>
          <w:rtl w:val="0"/>
          <w:lang w:val="ru-RU"/>
        </w:rPr>
        <w:t>мл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мин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Десорбцию проводили при температурах </w:t>
      </w:r>
      <w:r>
        <w:rPr>
          <w:rtl w:val="0"/>
          <w:lang w:val="ru-RU"/>
        </w:rPr>
        <w:t>300</w:t>
      </w:r>
      <w:r>
        <w:rPr>
          <w:rtl w:val="0"/>
          <w:lang w:val="ru-RU"/>
        </w:rPr>
        <w:t>°</w:t>
      </w:r>
      <w:r>
        <w:rPr>
          <w:rtl w:val="0"/>
          <w:lang w:val="ru-RU"/>
        </w:rPr>
        <w:t>C-400</w:t>
      </w:r>
      <w:r>
        <w:rPr>
          <w:rtl w:val="0"/>
          <w:lang w:val="ru-RU"/>
        </w:rPr>
        <w:t>°</w:t>
      </w:r>
      <w:r>
        <w:rPr>
          <w:rtl w:val="0"/>
          <w:lang w:val="ru-RU"/>
        </w:rPr>
        <w:t xml:space="preserve">C.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Показано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,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что оптимальными оказались отечественные цеолиты 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NaA.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Данные молекулярные сита эффективно улавливают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[</w:t>
      </w:r>
      <w:r>
        <w:rPr>
          <w:outline w:val="0"/>
          <w:color w:val="0f1115"/>
          <w:u w:color="0f1115"/>
          <w:shd w:val="clear" w:color="auto" w:fill="ffffff"/>
          <w:vertAlign w:val="superscript"/>
          <w:rtl w:val="0"/>
          <w:lang w:val="ru-RU"/>
          <w14:textFill>
            <w14:solidFill>
              <w14:srgbClr w14:val="0F1115"/>
            </w14:solidFill>
          </w14:textFill>
        </w:rPr>
        <w:t>11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C]CO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₂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(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≥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85%),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 нагревание при 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400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°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C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обеспечивает высокое высвобождение активности до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83%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за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3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минуты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,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являются доступными и планируются к внедрению в модуль синтеза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[</w:t>
      </w:r>
      <w:r>
        <w:rPr>
          <w:outline w:val="0"/>
          <w:color w:val="0f1115"/>
          <w:u w:color="0f1115"/>
          <w:shd w:val="clear" w:color="auto" w:fill="ffffff"/>
          <w:vertAlign w:val="superscript"/>
          <w:rtl w:val="0"/>
          <w:lang w:val="ru-RU"/>
          <w14:textFill>
            <w14:solidFill>
              <w14:srgbClr w14:val="0F1115"/>
            </w14:solidFill>
          </w14:textFill>
        </w:rPr>
        <w:t>11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C]MET.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 </w:t>
      </w:r>
    </w:p>
    <w:p>
      <w:pPr>
        <w:pStyle w:val="Normal.0"/>
        <w:ind w:firstLine="397"/>
        <w:jc w:val="both"/>
      </w:pP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Работа выполнена в рамках Государственного задания Министерства науки и высшего образования РФ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,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тема номер </w:t>
      </w:r>
      <w:r>
        <w:rPr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FMMW-2026-0010.</w:t>
      </w:r>
    </w:p>
    <w:p>
      <w:pPr>
        <w:pStyle w:val="Normal.0"/>
        <w:shd w:val="clear" w:color="auto" w:fill="ffffff"/>
        <w:ind w:firstLine="397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Литература</w:t>
      </w:r>
    </w:p>
    <w:p>
      <w:pPr>
        <w:pStyle w:val="Normal.0"/>
        <w:ind w:firstLine="397"/>
        <w:jc w:val="both"/>
        <w:rPr>
          <w:outline w:val="0"/>
          <w:color w:val="0f1115"/>
          <w:u w:color="0f1115"/>
          <w:shd w:val="clear" w:color="auto" w:fill="ffffff"/>
          <w:lang w:val="en-US"/>
          <w14:textFill>
            <w14:solidFill>
              <w14:srgbClr w14:val="0F1115"/>
            </w14:solidFill>
          </w14:textFill>
        </w:rPr>
      </w:pPr>
      <w:r>
        <w:rPr>
          <w:outline w:val="0"/>
          <w:color w:val="0f1115"/>
          <w:u w:color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1. Comar D., Cartron J. C., Maziere M., et al. Labelling and Metabolism of Methionine-Methyl-</w:t>
      </w:r>
      <w:r>
        <w:rPr>
          <w:outline w:val="0"/>
          <w:color w:val="0f1115"/>
          <w:u w:color="0f1115"/>
          <w:shd w:val="clear" w:color="auto" w:fill="ffffff"/>
          <w:vertAlign w:val="superscript"/>
          <w:rtl w:val="0"/>
          <w:lang w:val="en-US"/>
          <w14:textFill>
            <w14:solidFill>
              <w14:srgbClr w14:val="0F1115"/>
            </w14:solidFill>
          </w14:textFill>
        </w:rPr>
        <w:t>11</w:t>
      </w:r>
      <w:r>
        <w:rPr>
          <w:outline w:val="0"/>
          <w:color w:val="0f1115"/>
          <w:u w:color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C // European Journal of Nuclear Medicine. 1976. Vol. 1. No. 1. P. 11-14.</w:t>
      </w:r>
    </w:p>
    <w:p>
      <w:pPr>
        <w:pStyle w:val="Normal.0"/>
        <w:ind w:firstLine="397"/>
        <w:jc w:val="both"/>
      </w:pPr>
      <w:r>
        <w:rPr>
          <w:outline w:val="0"/>
          <w:color w:val="0f1115"/>
          <w:u w:color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2. Mock B. H., Vavrek M. T., Mulholland G. K. Solid-phase Reversible Trap for</w:t>
      </w:r>
      <w:r>
        <w:rPr>
          <w:outline w:val="0"/>
          <w:color w:val="0f1115"/>
          <w:u w:color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 </w:t>
      </w:r>
      <w:r>
        <w:rPr>
          <w:outline w:val="0"/>
          <w:color w:val="0f1115"/>
          <w:u w:color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[</w:t>
      </w:r>
      <w:r>
        <w:rPr>
          <w:outline w:val="0"/>
          <w:color w:val="0f1115"/>
          <w:u w:color="0f1115"/>
          <w:shd w:val="clear" w:color="auto" w:fill="ffffff"/>
          <w:vertAlign w:val="superscript"/>
          <w:rtl w:val="0"/>
          <w:lang w:val="en-US"/>
          <w14:textFill>
            <w14:solidFill>
              <w14:srgbClr w14:val="0F1115"/>
            </w14:solidFill>
          </w14:textFill>
        </w:rPr>
        <w:t>11</w:t>
      </w:r>
      <w:r>
        <w:rPr>
          <w:outline w:val="0"/>
          <w:color w:val="0f1115"/>
          <w:u w:color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C] Carbon Dioxide Using Carbon Molecular Sieves // Applied Radiation and Isotopes. 1995. Vol. 22. No 5. P. 667-670.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  <w:i w:val="1"/>
      <w:iCs w:val="1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