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983" w:rsidRPr="00E6169E" w:rsidRDefault="00587983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b/>
        </w:rPr>
        <w:t>Синтез и электрохимическое исследование смешанного фосфата</w:t>
      </w:r>
      <w:r w:rsidRPr="00E6169E">
        <w:rPr>
          <w:b/>
        </w:rPr>
        <w:t xml:space="preserve"> титана </w:t>
      </w:r>
      <w:r>
        <w:rPr>
          <w:b/>
        </w:rPr>
        <w:t>–</w:t>
      </w:r>
      <w:r w:rsidRPr="00E6169E">
        <w:rPr>
          <w:b/>
        </w:rPr>
        <w:t xml:space="preserve"> ниобия</w:t>
      </w:r>
    </w:p>
    <w:p w:rsidR="0032638A" w:rsidRPr="008275C3" w:rsidRDefault="0032638A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i/>
          <w:color w:val="000000"/>
        </w:rPr>
        <w:t>Разуваева В.А.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Черкащенко</w:t>
      </w:r>
      <w:proofErr w:type="spellEnd"/>
      <w:r>
        <w:rPr>
          <w:b/>
          <w:i/>
          <w:color w:val="000000"/>
        </w:rPr>
        <w:t xml:space="preserve"> И.</w:t>
      </w:r>
      <w:r w:rsidRPr="00EA5C9A">
        <w:rPr>
          <w:b/>
          <w:i/>
          <w:color w:val="000000"/>
        </w:rPr>
        <w:t>Р</w:t>
      </w:r>
      <w:r w:rsidRPr="00EA5C9A">
        <w:rPr>
          <w:b/>
          <w:i/>
          <w:color w:val="000000"/>
          <w:vertAlign w:val="superscript"/>
        </w:rPr>
        <w:t>,1</w:t>
      </w:r>
      <w:r w:rsidR="008275C3">
        <w:rPr>
          <w:b/>
          <w:i/>
          <w:color w:val="000000"/>
          <w:vertAlign w:val="superscript"/>
        </w:rPr>
        <w:t>,2</w:t>
      </w:r>
    </w:p>
    <w:p w:rsidR="0032638A" w:rsidRDefault="00171151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Студент,4</w:t>
      </w:r>
      <w:r w:rsidR="0032638A">
        <w:rPr>
          <w:i/>
          <w:color w:val="000000"/>
        </w:rPr>
        <w:t xml:space="preserve"> курс специалитета</w:t>
      </w:r>
    </w:p>
    <w:p w:rsidR="0032638A" w:rsidRPr="00921D45" w:rsidRDefault="0032638A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32638A" w:rsidRPr="00391C38" w:rsidRDefault="0032638A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32638A" w:rsidRDefault="0032638A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701ABA">
        <w:rPr>
          <w:i/>
          <w:color w:val="000000"/>
        </w:rPr>
        <w:t xml:space="preserve"> </w:t>
      </w:r>
      <w:r>
        <w:rPr>
          <w:i/>
          <w:color w:val="000000"/>
        </w:rPr>
        <w:t>Сколковский институт науки и технологий, Москва, Россия</w:t>
      </w:r>
    </w:p>
    <w:p w:rsidR="00587983" w:rsidRPr="0032638A" w:rsidRDefault="00587983" w:rsidP="00016C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E6169E">
        <w:rPr>
          <w:i/>
          <w:lang w:val="en-US"/>
        </w:rPr>
        <w:t>E</w:t>
      </w:r>
      <w:r w:rsidRPr="0032638A">
        <w:rPr>
          <w:i/>
          <w:lang w:val="en-US"/>
        </w:rPr>
        <w:t>-</w:t>
      </w:r>
      <w:r w:rsidRPr="00E6169E">
        <w:rPr>
          <w:i/>
          <w:lang w:val="en-US"/>
        </w:rPr>
        <w:t>mail</w:t>
      </w:r>
      <w:r w:rsidRPr="0032638A">
        <w:rPr>
          <w:i/>
          <w:lang w:val="en-US"/>
        </w:rPr>
        <w:t xml:space="preserve">: </w:t>
      </w:r>
      <w:r w:rsidRPr="008275C3">
        <w:rPr>
          <w:i/>
          <w:u w:val="single"/>
          <w:lang w:val="en-US"/>
        </w:rPr>
        <w:t>varvara.r2004a@gmail.com</w:t>
      </w:r>
    </w:p>
    <w:p w:rsidR="00183BE4" w:rsidRPr="00886CA1" w:rsidRDefault="0045213A" w:rsidP="006D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hd w:val="clear" w:color="auto" w:fill="FFFFFF"/>
        </w:rPr>
      </w:pPr>
      <w:r w:rsidRPr="00886CA1">
        <w:rPr>
          <w:shd w:val="clear" w:color="auto" w:fill="FFFFFF"/>
        </w:rPr>
        <w:t xml:space="preserve">Несмотря на широкое использование соединений вида </w:t>
      </w:r>
      <w:proofErr w:type="spellStart"/>
      <w:r w:rsidRPr="00886CA1">
        <w:rPr>
          <w:shd w:val="clear" w:color="auto" w:fill="FFFFFF"/>
          <w:lang w:val="en-US"/>
        </w:rPr>
        <w:t>Na</w:t>
      </w:r>
      <w:r w:rsidRPr="00886CA1">
        <w:rPr>
          <w:shd w:val="clear" w:color="auto" w:fill="FFFFFF"/>
          <w:vertAlign w:val="subscript"/>
          <w:lang w:val="en-US"/>
        </w:rPr>
        <w:t>x</w:t>
      </w:r>
      <w:r w:rsidRPr="00886CA1">
        <w:rPr>
          <w:shd w:val="clear" w:color="auto" w:fill="FFFFFF"/>
          <w:lang w:val="en-US"/>
        </w:rPr>
        <w:t>M</w:t>
      </w:r>
      <w:proofErr w:type="spellEnd"/>
      <w:r w:rsidRPr="00886CA1">
        <w:rPr>
          <w:shd w:val="clear" w:color="auto" w:fill="FFFFFF"/>
          <w:vertAlign w:val="subscript"/>
        </w:rPr>
        <w:t>2</w:t>
      </w:r>
      <w:r w:rsidRPr="00886CA1">
        <w:rPr>
          <w:shd w:val="clear" w:color="auto" w:fill="FFFFFF"/>
        </w:rPr>
        <w:t>(</w:t>
      </w:r>
      <w:r w:rsidRPr="00886CA1">
        <w:rPr>
          <w:shd w:val="clear" w:color="auto" w:fill="FFFFFF"/>
          <w:lang w:val="en-US"/>
        </w:rPr>
        <w:t>PO</w:t>
      </w:r>
      <w:r w:rsidRPr="00886CA1">
        <w:rPr>
          <w:shd w:val="clear" w:color="auto" w:fill="FFFFFF"/>
          <w:vertAlign w:val="subscript"/>
        </w:rPr>
        <w:t>4</w:t>
      </w:r>
      <w:r w:rsidRPr="00886CA1">
        <w:rPr>
          <w:shd w:val="clear" w:color="auto" w:fill="FFFFFF"/>
        </w:rPr>
        <w:t>)</w:t>
      </w:r>
      <w:r w:rsidRPr="00886CA1">
        <w:rPr>
          <w:shd w:val="clear" w:color="auto" w:fill="FFFFFF"/>
          <w:vertAlign w:val="subscript"/>
        </w:rPr>
        <w:t>3</w:t>
      </w:r>
      <w:r w:rsidRPr="00886CA1">
        <w:rPr>
          <w:shd w:val="clear" w:color="auto" w:fill="FFFFFF"/>
        </w:rPr>
        <w:t xml:space="preserve"> с </w:t>
      </w:r>
      <w:proofErr w:type="spellStart"/>
      <w:r w:rsidRPr="00886CA1">
        <w:rPr>
          <w:shd w:val="clear" w:color="auto" w:fill="FFFFFF"/>
        </w:rPr>
        <w:t>насиконоподобным</w:t>
      </w:r>
      <w:proofErr w:type="spellEnd"/>
      <w:r w:rsidRPr="00886CA1">
        <w:rPr>
          <w:shd w:val="clear" w:color="auto" w:fill="FFFFFF"/>
        </w:rPr>
        <w:t xml:space="preserve"> каркасом в качестве электродных материалов натрий-ионных аккумуляторов, до сих пор не решенной является проблема обратимой (де)интеркаляции натрия из позиции </w:t>
      </w:r>
      <w:r w:rsidRPr="00886CA1">
        <w:rPr>
          <w:shd w:val="clear" w:color="auto" w:fill="FFFFFF"/>
          <w:lang w:val="en-US"/>
        </w:rPr>
        <w:t>Na</w:t>
      </w:r>
      <w:r w:rsidRPr="00886CA1">
        <w:rPr>
          <w:shd w:val="clear" w:color="auto" w:fill="FFFFFF"/>
        </w:rPr>
        <w:t xml:space="preserve">1 даже в том случае, если соответствующая редокс-пара </w:t>
      </w:r>
      <w:r w:rsidRPr="00886CA1">
        <w:rPr>
          <w:shd w:val="clear" w:color="auto" w:fill="FFFFFF"/>
          <w:lang w:val="en-US"/>
        </w:rPr>
        <w:t>M</w:t>
      </w:r>
      <w:r w:rsidRPr="00886CA1">
        <w:rPr>
          <w:shd w:val="clear" w:color="auto" w:fill="FFFFFF"/>
          <w:vertAlign w:val="superscript"/>
        </w:rPr>
        <w:t>(</w:t>
      </w:r>
      <w:r w:rsidRPr="00886CA1">
        <w:rPr>
          <w:shd w:val="clear" w:color="auto" w:fill="FFFFFF"/>
          <w:vertAlign w:val="superscript"/>
          <w:lang w:val="en-US"/>
        </w:rPr>
        <w:t>z</w:t>
      </w:r>
      <w:r w:rsidRPr="00886CA1">
        <w:rPr>
          <w:shd w:val="clear" w:color="auto" w:fill="FFFFFF"/>
          <w:vertAlign w:val="superscript"/>
        </w:rPr>
        <w:t>+</w:t>
      </w:r>
      <w:proofErr w:type="gramStart"/>
      <w:r w:rsidRPr="00886CA1">
        <w:rPr>
          <w:shd w:val="clear" w:color="auto" w:fill="FFFFFF"/>
          <w:vertAlign w:val="superscript"/>
        </w:rPr>
        <w:t>1)+</w:t>
      </w:r>
      <w:proofErr w:type="gramEnd"/>
      <w:r w:rsidRPr="00886CA1">
        <w:rPr>
          <w:shd w:val="clear" w:color="auto" w:fill="FFFFFF"/>
        </w:rPr>
        <w:t>/</w:t>
      </w:r>
      <w:proofErr w:type="spellStart"/>
      <w:r w:rsidRPr="00886CA1">
        <w:rPr>
          <w:shd w:val="clear" w:color="auto" w:fill="FFFFFF"/>
          <w:lang w:val="en-US"/>
        </w:rPr>
        <w:t>M</w:t>
      </w:r>
      <w:r w:rsidRPr="00886CA1">
        <w:rPr>
          <w:shd w:val="clear" w:color="auto" w:fill="FFFFFF"/>
          <w:vertAlign w:val="superscript"/>
          <w:lang w:val="en-US"/>
        </w:rPr>
        <w:t>z</w:t>
      </w:r>
      <w:proofErr w:type="spellEnd"/>
      <w:r w:rsidRPr="00886CA1">
        <w:rPr>
          <w:shd w:val="clear" w:color="auto" w:fill="FFFFFF"/>
          <w:vertAlign w:val="superscript"/>
        </w:rPr>
        <w:t>+</w:t>
      </w:r>
      <w:r w:rsidRPr="00886CA1">
        <w:rPr>
          <w:shd w:val="clear" w:color="auto" w:fill="FFFFFF"/>
        </w:rPr>
        <w:t xml:space="preserve"> может быть активирована в других структурах [1,2].</w:t>
      </w:r>
      <w:r w:rsidRPr="008275C3">
        <w:rPr>
          <w:color w:val="000000" w:themeColor="text1"/>
          <w:shd w:val="clear" w:color="auto" w:fill="FFFFFF"/>
        </w:rPr>
        <w:t xml:space="preserve"> </w:t>
      </w:r>
      <w:r w:rsidR="00A8579E">
        <w:rPr>
          <w:color w:val="0F1115"/>
          <w:shd w:val="clear" w:color="auto" w:fill="FFFFFF"/>
        </w:rPr>
        <w:t>Поэтому</w:t>
      </w:r>
      <w:r w:rsidR="00204108">
        <w:rPr>
          <w:color w:val="0F1115"/>
          <w:shd w:val="clear" w:color="auto" w:fill="FFFFFF"/>
        </w:rPr>
        <w:t xml:space="preserve"> для исследования активации всех позиций натрия в электрохимических процессах</w:t>
      </w:r>
      <w:r w:rsidR="00816881" w:rsidRPr="00816881">
        <w:rPr>
          <w:color w:val="0F1115"/>
          <w:shd w:val="clear" w:color="auto" w:fill="FFFFFF"/>
        </w:rPr>
        <w:t xml:space="preserve"> особый интерес представляют </w:t>
      </w:r>
      <w:r w:rsidRPr="00886CA1">
        <w:rPr>
          <w:shd w:val="clear" w:color="auto" w:fill="FFFFFF"/>
        </w:rPr>
        <w:t xml:space="preserve">насиконоподобные </w:t>
      </w:r>
      <w:r w:rsidR="00816881" w:rsidRPr="00886CA1">
        <w:rPr>
          <w:shd w:val="clear" w:color="auto" w:fill="FFFFFF"/>
        </w:rPr>
        <w:t xml:space="preserve">соединения, изначально не содержащие </w:t>
      </w:r>
      <w:r w:rsidR="008A0ECC" w:rsidRPr="00886CA1">
        <w:rPr>
          <w:shd w:val="clear" w:color="auto" w:fill="FFFFFF"/>
        </w:rPr>
        <w:t>натрий</w:t>
      </w:r>
      <w:r w:rsidR="00816881" w:rsidRPr="00886CA1">
        <w:rPr>
          <w:shd w:val="clear" w:color="auto" w:fill="FFFFFF"/>
        </w:rPr>
        <w:t xml:space="preserve">. </w:t>
      </w:r>
      <w:r w:rsidR="00AC712A" w:rsidRPr="00886CA1">
        <w:rPr>
          <w:shd w:val="clear" w:color="auto" w:fill="FFFFFF"/>
        </w:rPr>
        <w:t>В частности, э</w:t>
      </w:r>
      <w:r w:rsidR="00183BE4" w:rsidRPr="00886CA1">
        <w:rPr>
          <w:shd w:val="clear" w:color="auto" w:fill="FFFFFF"/>
        </w:rPr>
        <w:t>лектрохими</w:t>
      </w:r>
      <w:r w:rsidR="00AC712A" w:rsidRPr="00886CA1">
        <w:rPr>
          <w:shd w:val="clear" w:color="auto" w:fill="FFFFFF"/>
        </w:rPr>
        <w:t>ческое поведение фосфата</w:t>
      </w:r>
      <w:r w:rsidR="00183BE4" w:rsidRPr="00886CA1">
        <w:rPr>
          <w:shd w:val="clear" w:color="auto" w:fill="FFFFFF"/>
        </w:rPr>
        <w:t xml:space="preserve"> NbTi(PO₄)₃ в натриевых я</w:t>
      </w:r>
      <w:r w:rsidR="009F75C5" w:rsidRPr="00886CA1">
        <w:rPr>
          <w:shd w:val="clear" w:color="auto" w:fill="FFFFFF"/>
        </w:rPr>
        <w:t>чейках практически не изучен</w:t>
      </w:r>
      <w:r w:rsidR="00AC712A" w:rsidRPr="00886CA1">
        <w:rPr>
          <w:shd w:val="clear" w:color="auto" w:fill="FFFFFF"/>
        </w:rPr>
        <w:t>о</w:t>
      </w:r>
      <w:r w:rsidR="001C74A5" w:rsidRPr="00886CA1">
        <w:rPr>
          <w:shd w:val="clear" w:color="auto" w:fill="FFFFFF"/>
        </w:rPr>
        <w:t xml:space="preserve"> [3]</w:t>
      </w:r>
      <w:r w:rsidR="00AC712A" w:rsidRPr="00886CA1">
        <w:rPr>
          <w:shd w:val="clear" w:color="auto" w:fill="FFFFFF"/>
        </w:rPr>
        <w:t>.</w:t>
      </w:r>
    </w:p>
    <w:p w:rsidR="009F75C5" w:rsidRDefault="00E973AA" w:rsidP="006D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Segoe UI" w:hAnsi="Segoe UI" w:cs="Segoe UI"/>
          <w:color w:val="0F1115"/>
          <w:sz w:val="19"/>
          <w:szCs w:val="19"/>
          <w:shd w:val="clear" w:color="auto" w:fill="FFFFFF"/>
        </w:rPr>
      </w:pPr>
      <w:r w:rsidRPr="006E0D90">
        <w:t>С</w:t>
      </w:r>
      <w:r w:rsidR="00073DEF" w:rsidRPr="006E0D90">
        <w:t>мешанный фосфат</w:t>
      </w:r>
      <w:r w:rsidR="005414AF">
        <w:t xml:space="preserve"> </w:t>
      </w:r>
      <w:r w:rsidR="005414AF" w:rsidRPr="00886CA1">
        <w:rPr>
          <w:shd w:val="clear" w:color="auto" w:fill="FFFFFF"/>
        </w:rPr>
        <w:t xml:space="preserve">NbTi(PO₄)₃ со структурой </w:t>
      </w:r>
      <w:r w:rsidR="005414AF" w:rsidRPr="00886CA1">
        <w:rPr>
          <w:shd w:val="clear" w:color="auto" w:fill="FFFFFF"/>
          <w:lang w:val="en-US"/>
        </w:rPr>
        <w:t>NASICON</w:t>
      </w:r>
      <w:r w:rsidR="00073DEF" w:rsidRPr="006E0D90">
        <w:t xml:space="preserve"> получен последовательным</w:t>
      </w:r>
      <w:r w:rsidRPr="006E0D90">
        <w:t xml:space="preserve"> </w:t>
      </w:r>
      <w:r w:rsidR="00073DEF" w:rsidRPr="006E0D90">
        <w:t>четырёхстадийным</w:t>
      </w:r>
      <w:r w:rsidRPr="006E0D90">
        <w:t xml:space="preserve"> </w:t>
      </w:r>
      <w:r w:rsidR="00073DEF" w:rsidRPr="006E0D90">
        <w:t>твердофазным</w:t>
      </w:r>
      <w:r w:rsidRPr="006E0D90">
        <w:t xml:space="preserve"> </w:t>
      </w:r>
      <w:r w:rsidR="00073DEF" w:rsidRPr="006E0D90">
        <w:t>спеканием</w:t>
      </w:r>
      <w:r w:rsidRPr="006E0D90">
        <w:t xml:space="preserve"> </w:t>
      </w:r>
      <w:r w:rsidR="00073DEF" w:rsidRPr="006E0D90">
        <w:t>гидрата оксооксалатониобата, диоксида титана и дигидрофосфата аммония</w:t>
      </w:r>
      <w:r w:rsidR="00224C77">
        <w:t xml:space="preserve"> в интервале температур 200-1000 </w:t>
      </w:r>
      <w:r w:rsidR="00224C77">
        <w:rPr>
          <w:rtl/>
          <w:lang w:bidi="he-IL"/>
        </w:rPr>
        <w:t>֠</w:t>
      </w:r>
      <w:r w:rsidR="00224C77">
        <w:rPr>
          <w:lang w:val="en-US"/>
        </w:rPr>
        <w:t>C</w:t>
      </w:r>
      <w:r w:rsidR="00224C77">
        <w:t xml:space="preserve"> с промежуточными помолами после первых двух стадий</w:t>
      </w:r>
      <w:r w:rsidRPr="006E0D90">
        <w:t>.</w:t>
      </w:r>
      <w:r w:rsidR="00097AB1">
        <w:t xml:space="preserve"> </w:t>
      </w:r>
      <w:r w:rsidRPr="006E0D90">
        <w:t xml:space="preserve">Кристаллическая структура синтезированного </w:t>
      </w:r>
      <w:r w:rsidR="00073DEF" w:rsidRPr="006E0D90">
        <w:t>образца</w:t>
      </w:r>
      <w:r w:rsidRPr="006E0D90">
        <w:t xml:space="preserve"> была уточнена по данным порошковой дифракции с использованием метода Ритвельда (</w:t>
      </w:r>
      <w:r w:rsidRPr="00587983">
        <w:t xml:space="preserve">пространственная группа — </w:t>
      </w:r>
      <w:r w:rsidRPr="00587983">
        <w:rPr>
          <w:lang w:val="en-US"/>
        </w:rPr>
        <w:t>R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/>
              </w:rPr>
              <m:t>3</m:t>
            </m:r>
          </m:e>
        </m:acc>
      </m:oMath>
      <w:r w:rsidRPr="00587983">
        <w:rPr>
          <w:lang w:val="en-US"/>
        </w:rPr>
        <w:t>c</w:t>
      </w:r>
      <w:r w:rsidRPr="00587983">
        <w:t xml:space="preserve"> </w:t>
      </w:r>
      <w:r w:rsidR="008D2FD2" w:rsidRPr="008F69BD">
        <w:rPr>
          <w:bCs/>
          <w:i/>
          <w:iCs/>
          <w:color w:val="000000" w:themeColor="text1"/>
          <w:lang w:val="en-US"/>
        </w:rPr>
        <w:t>a</w:t>
      </w:r>
      <w:r w:rsidR="008D2FD2" w:rsidRPr="008D2FD2">
        <w:rPr>
          <w:bCs/>
          <w:iCs/>
          <w:color w:val="000000" w:themeColor="text1"/>
        </w:rPr>
        <w:t xml:space="preserve"> = </w:t>
      </w:r>
      <w:r w:rsidR="008D2FD2" w:rsidRPr="008D2FD2">
        <w:t>8.57585(6)</w:t>
      </w:r>
      <w:r w:rsidR="008D2FD2" w:rsidRPr="008D2FD2">
        <w:rPr>
          <w:bCs/>
          <w:iCs/>
          <w:color w:val="000000" w:themeColor="text1"/>
        </w:rPr>
        <w:t xml:space="preserve"> Å, </w:t>
      </w:r>
      <w:r w:rsidR="008D2FD2" w:rsidRPr="004E64F3">
        <w:rPr>
          <w:bCs/>
          <w:i/>
          <w:iCs/>
          <w:color w:val="000000" w:themeColor="text1"/>
          <w:lang w:val="en-US"/>
        </w:rPr>
        <w:t>c</w:t>
      </w:r>
      <w:r w:rsidR="008D2FD2" w:rsidRPr="008D2FD2">
        <w:rPr>
          <w:bCs/>
          <w:iCs/>
          <w:color w:val="000000" w:themeColor="text1"/>
        </w:rPr>
        <w:t xml:space="preserve"> = </w:t>
      </w:r>
      <w:r w:rsidR="008D2FD2" w:rsidRPr="008D2FD2">
        <w:t>21.9132(2)</w:t>
      </w:r>
      <w:r w:rsidR="008D2FD2" w:rsidRPr="008D2FD2">
        <w:rPr>
          <w:bCs/>
          <w:iCs/>
          <w:color w:val="000000" w:themeColor="text1"/>
        </w:rPr>
        <w:t xml:space="preserve"> Å, </w:t>
      </w:r>
      <w:r w:rsidR="008D2FD2" w:rsidRPr="004E64F3">
        <w:rPr>
          <w:bCs/>
          <w:i/>
          <w:iCs/>
          <w:color w:val="000000" w:themeColor="text1"/>
          <w:lang w:val="en-US"/>
        </w:rPr>
        <w:t>V</w:t>
      </w:r>
      <w:r w:rsidR="008D2FD2" w:rsidRPr="008D2FD2">
        <w:rPr>
          <w:bCs/>
          <w:iCs/>
          <w:color w:val="000000" w:themeColor="text1"/>
        </w:rPr>
        <w:t xml:space="preserve"> = </w:t>
      </w:r>
      <w:r w:rsidR="008D2FD2" w:rsidRPr="008D2FD2">
        <w:t>1395.69(2)</w:t>
      </w:r>
      <w:r w:rsidR="008D2FD2" w:rsidRPr="008D2FD2">
        <w:rPr>
          <w:bCs/>
          <w:iCs/>
          <w:color w:val="000000" w:themeColor="text1"/>
        </w:rPr>
        <w:t xml:space="preserve"> Å</w:t>
      </w:r>
      <w:r w:rsidR="008D2FD2" w:rsidRPr="008D2FD2">
        <w:rPr>
          <w:bCs/>
          <w:iCs/>
          <w:color w:val="000000" w:themeColor="text1"/>
          <w:vertAlign w:val="superscript"/>
        </w:rPr>
        <w:t>3</w:t>
      </w:r>
      <w:r w:rsidR="008D2FD2" w:rsidRPr="008D2FD2">
        <w:rPr>
          <w:bCs/>
          <w:iCs/>
          <w:color w:val="000000" w:themeColor="text1"/>
        </w:rPr>
        <w:t xml:space="preserve">, </w:t>
      </w:r>
      <w:r w:rsidRPr="005C1A1F">
        <w:t xml:space="preserve"> </w:t>
      </w:r>
      <w:r w:rsidRPr="005C1A1F">
        <w:rPr>
          <w:i/>
          <w:lang w:val="en-US"/>
        </w:rPr>
        <w:t>R</w:t>
      </w:r>
      <w:r w:rsidRPr="005C1A1F">
        <w:rPr>
          <w:vertAlign w:val="subscript"/>
          <w:lang w:val="en-US"/>
        </w:rPr>
        <w:t>I</w:t>
      </w:r>
      <w:r w:rsidRPr="005C1A1F">
        <w:rPr>
          <w:lang w:val="en-US"/>
        </w:rPr>
        <w:t> </w:t>
      </w:r>
      <w:r w:rsidRPr="005C1A1F">
        <w:t>=</w:t>
      </w:r>
      <w:r w:rsidRPr="005C1A1F">
        <w:rPr>
          <w:lang w:val="en-US"/>
        </w:rPr>
        <w:t> </w:t>
      </w:r>
      <w:r w:rsidR="008A0ECC">
        <w:t>0.04</w:t>
      </w:r>
      <w:r w:rsidR="008A0ECC" w:rsidRPr="008A0ECC">
        <w:t>90</w:t>
      </w:r>
      <w:r w:rsidRPr="005C1A1F">
        <w:t xml:space="preserve">, </w:t>
      </w:r>
      <w:r w:rsidRPr="005C1A1F">
        <w:rPr>
          <w:i/>
          <w:lang w:val="en-US"/>
        </w:rPr>
        <w:t>R</w:t>
      </w:r>
      <w:r w:rsidRPr="005C1A1F">
        <w:rPr>
          <w:vertAlign w:val="subscript"/>
          <w:lang w:val="en-US"/>
        </w:rPr>
        <w:t>p</w:t>
      </w:r>
      <w:r w:rsidRPr="005C1A1F">
        <w:rPr>
          <w:lang w:val="en-US"/>
        </w:rPr>
        <w:t> </w:t>
      </w:r>
      <w:r w:rsidRPr="005C1A1F">
        <w:t>=</w:t>
      </w:r>
      <w:r w:rsidRPr="005C1A1F">
        <w:rPr>
          <w:lang w:val="en-US"/>
        </w:rPr>
        <w:t> </w:t>
      </w:r>
      <w:r w:rsidR="008A0ECC">
        <w:t>0.04</w:t>
      </w:r>
      <w:r w:rsidR="008A0ECC" w:rsidRPr="008A0ECC">
        <w:t>36</w:t>
      </w:r>
      <w:r w:rsidRPr="005C1A1F">
        <w:t xml:space="preserve">, </w:t>
      </w:r>
      <w:proofErr w:type="spellStart"/>
      <w:r w:rsidRPr="005C1A1F">
        <w:rPr>
          <w:i/>
          <w:lang w:val="en-US"/>
        </w:rPr>
        <w:t>R</w:t>
      </w:r>
      <w:r w:rsidRPr="005C1A1F">
        <w:rPr>
          <w:vertAlign w:val="subscript"/>
          <w:lang w:val="en-US"/>
        </w:rPr>
        <w:t>wp</w:t>
      </w:r>
      <w:proofErr w:type="spellEnd"/>
      <w:r w:rsidRPr="005C1A1F">
        <w:rPr>
          <w:lang w:val="en-US"/>
        </w:rPr>
        <w:t> </w:t>
      </w:r>
      <w:r w:rsidRPr="005C1A1F">
        <w:t>=</w:t>
      </w:r>
      <w:r w:rsidRPr="005C1A1F">
        <w:rPr>
          <w:lang w:val="en-US"/>
        </w:rPr>
        <w:t> </w:t>
      </w:r>
      <w:r w:rsidR="005C1A1F" w:rsidRPr="005C1A1F">
        <w:t>0.0614</w:t>
      </w:r>
      <w:r w:rsidRPr="005C1A1F">
        <w:t xml:space="preserve">, </w:t>
      </w:r>
      <w:r w:rsidRPr="005C1A1F">
        <w:rPr>
          <w:lang w:val="en-US"/>
        </w:rPr>
        <w:t>GOF </w:t>
      </w:r>
      <w:r w:rsidRPr="005C1A1F">
        <w:t>=</w:t>
      </w:r>
      <w:r w:rsidRPr="005C1A1F">
        <w:rPr>
          <w:lang w:val="en-US"/>
        </w:rPr>
        <w:t> </w:t>
      </w:r>
      <w:r w:rsidR="005C1A1F" w:rsidRPr="005C1A1F">
        <w:t>5.</w:t>
      </w:r>
      <w:r w:rsidR="005C1A1F">
        <w:t>57</w:t>
      </w:r>
      <w:r w:rsidR="009F75C5">
        <w:t xml:space="preserve">). </w:t>
      </w:r>
      <w:r w:rsidR="009F75C5">
        <w:rPr>
          <w:color w:val="0F1115"/>
          <w:shd w:val="clear" w:color="auto" w:fill="FFFFFF"/>
        </w:rPr>
        <w:t>В</w:t>
      </w:r>
      <w:r w:rsidR="009F75C5" w:rsidRPr="009F75C5">
        <w:rPr>
          <w:color w:val="0F1115"/>
          <w:shd w:val="clear" w:color="auto" w:fill="FFFFFF"/>
        </w:rPr>
        <w:t xml:space="preserve"> образце присутствуют пр</w:t>
      </w:r>
      <w:r w:rsidR="009F75C5">
        <w:rPr>
          <w:color w:val="0F1115"/>
          <w:shd w:val="clear" w:color="auto" w:fill="FFFFFF"/>
        </w:rPr>
        <w:t xml:space="preserve">имеси TiO₂ </w:t>
      </w:r>
      <w:r w:rsidR="008A0ECC">
        <w:rPr>
          <w:color w:val="0F1115"/>
          <w:shd w:val="clear" w:color="auto" w:fill="FFFFFF"/>
        </w:rPr>
        <w:t xml:space="preserve">(1.4 масс. %) </w:t>
      </w:r>
      <w:r w:rsidR="009F75C5">
        <w:rPr>
          <w:color w:val="0F1115"/>
          <w:shd w:val="clear" w:color="auto" w:fill="FFFFFF"/>
        </w:rPr>
        <w:t>и</w:t>
      </w:r>
      <w:r w:rsidR="009F75C5" w:rsidRPr="009F75C5">
        <w:rPr>
          <w:color w:val="0F1115"/>
          <w:shd w:val="clear" w:color="auto" w:fill="FFFFFF"/>
        </w:rPr>
        <w:t xml:space="preserve"> NbOPO₄</w:t>
      </w:r>
      <w:r w:rsidR="008A0ECC">
        <w:rPr>
          <w:color w:val="0F1115"/>
          <w:shd w:val="clear" w:color="auto" w:fill="FFFFFF"/>
        </w:rPr>
        <w:t xml:space="preserve"> (1.6 масс.%)</w:t>
      </w:r>
      <w:r w:rsidR="009F75C5" w:rsidRPr="009F75C5">
        <w:rPr>
          <w:color w:val="0F1115"/>
          <w:shd w:val="clear" w:color="auto" w:fill="FFFFFF"/>
        </w:rPr>
        <w:t>.</w:t>
      </w:r>
    </w:p>
    <w:p w:rsidR="00945425" w:rsidRPr="00AE00CE" w:rsidRDefault="00A47AEA" w:rsidP="006D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u w:val="single"/>
        </w:rPr>
      </w:pPr>
      <w:r>
        <w:t>Для изучения интеркаляционных свойств полученного материала были собраны электрохимические</w:t>
      </w:r>
      <w:r w:rsidR="00E0507A">
        <w:t xml:space="preserve"> </w:t>
      </w:r>
      <w:r w:rsidR="00E0507A" w:rsidRPr="00511A51">
        <w:t>прижимные</w:t>
      </w:r>
      <w:r w:rsidRPr="00511A51">
        <w:t xml:space="preserve"> </w:t>
      </w:r>
      <w:r>
        <w:t>полуячейки с натриевым противоэлектродом. Измерения проводили в режимах гальваностатического циклирования и циклической вольтамперометрии. Материал продемонстрировал обратимую электрохимическую активность</w:t>
      </w:r>
      <w:r w:rsidR="008F4C9F">
        <w:t xml:space="preserve"> с разрядной ёмкостью </w:t>
      </w:r>
      <w:r w:rsidR="008F4C9F" w:rsidRPr="009F75C5">
        <w:t xml:space="preserve">порядка </w:t>
      </w:r>
      <w:r w:rsidR="009F75C5" w:rsidRPr="009F75C5">
        <w:t>160</w:t>
      </w:r>
      <w:r w:rsidR="008F4C9F" w:rsidRPr="009F75C5">
        <w:t xml:space="preserve"> мАч/г</w:t>
      </w:r>
      <w:r w:rsidR="00213BAB" w:rsidRPr="00213BAB">
        <w:t xml:space="preserve"> </w:t>
      </w:r>
      <w:r w:rsidR="005414AF" w:rsidRPr="00511A51">
        <w:t xml:space="preserve">(это значение соответствует внедрению ~ 2.5 ионов </w:t>
      </w:r>
      <w:r w:rsidR="005414AF" w:rsidRPr="00511A51">
        <w:rPr>
          <w:lang w:val="en-US"/>
        </w:rPr>
        <w:t>Na</w:t>
      </w:r>
      <w:r w:rsidR="005414AF" w:rsidRPr="00511A51">
        <w:rPr>
          <w:vertAlign w:val="superscript"/>
        </w:rPr>
        <w:t>+</w:t>
      </w:r>
      <w:r w:rsidR="005414AF" w:rsidRPr="00511A51">
        <w:t xml:space="preserve"> и активации редокс-пар </w:t>
      </w:r>
      <w:r w:rsidR="005414AF" w:rsidRPr="00511A51">
        <w:rPr>
          <w:lang w:val="en-US"/>
        </w:rPr>
        <w:t>Ti</w:t>
      </w:r>
      <w:r w:rsidR="005414AF" w:rsidRPr="00511A51">
        <w:rPr>
          <w:vertAlign w:val="superscript"/>
        </w:rPr>
        <w:t>4+</w:t>
      </w:r>
      <w:r w:rsidR="005414AF" w:rsidRPr="00511A51">
        <w:t>/</w:t>
      </w:r>
      <w:r w:rsidR="005414AF" w:rsidRPr="00511A51">
        <w:rPr>
          <w:lang w:val="en-US"/>
        </w:rPr>
        <w:t>Ti</w:t>
      </w:r>
      <w:r w:rsidR="005414AF" w:rsidRPr="00511A51">
        <w:rPr>
          <w:vertAlign w:val="superscript"/>
        </w:rPr>
        <w:t>3+</w:t>
      </w:r>
      <w:r w:rsidR="005414AF" w:rsidRPr="00511A51">
        <w:t xml:space="preserve">, </w:t>
      </w:r>
      <w:r w:rsidR="005414AF" w:rsidRPr="00511A51">
        <w:rPr>
          <w:lang w:val="en-US"/>
        </w:rPr>
        <w:t>Nb</w:t>
      </w:r>
      <w:r w:rsidR="005414AF" w:rsidRPr="00511A51">
        <w:rPr>
          <w:vertAlign w:val="superscript"/>
        </w:rPr>
        <w:t>4+</w:t>
      </w:r>
      <w:r w:rsidR="005414AF" w:rsidRPr="00511A51">
        <w:t>/</w:t>
      </w:r>
      <w:r w:rsidR="005414AF" w:rsidRPr="00511A51">
        <w:rPr>
          <w:lang w:val="en-US"/>
        </w:rPr>
        <w:t>Nb</w:t>
      </w:r>
      <w:r w:rsidR="005414AF" w:rsidRPr="00511A51">
        <w:rPr>
          <w:vertAlign w:val="superscript"/>
        </w:rPr>
        <w:t>3+</w:t>
      </w:r>
      <w:r w:rsidR="005414AF" w:rsidRPr="00511A51">
        <w:t xml:space="preserve">, </w:t>
      </w:r>
      <w:r w:rsidR="005414AF" w:rsidRPr="00511A51">
        <w:rPr>
          <w:lang w:val="en-US"/>
        </w:rPr>
        <w:t>Nb</w:t>
      </w:r>
      <w:r w:rsidR="005414AF" w:rsidRPr="00511A51">
        <w:rPr>
          <w:vertAlign w:val="superscript"/>
        </w:rPr>
        <w:t>5+</w:t>
      </w:r>
      <w:r w:rsidR="005414AF" w:rsidRPr="00511A51">
        <w:t>/</w:t>
      </w:r>
      <w:r w:rsidR="005414AF" w:rsidRPr="00511A51">
        <w:rPr>
          <w:lang w:val="en-US"/>
        </w:rPr>
        <w:t>Nb</w:t>
      </w:r>
      <w:r w:rsidR="005414AF" w:rsidRPr="00511A51">
        <w:rPr>
          <w:vertAlign w:val="superscript"/>
        </w:rPr>
        <w:t>4+</w:t>
      </w:r>
      <w:r w:rsidR="005414AF" w:rsidRPr="00511A51">
        <w:t>). Однако, помимо низкого значения начальной кулоновской эффективности (</w:t>
      </w:r>
      <w:r w:rsidR="00213BAB" w:rsidRPr="00511A51">
        <w:t>~ 62.5%</w:t>
      </w:r>
      <w:r w:rsidR="005414AF" w:rsidRPr="00511A51">
        <w:t xml:space="preserve">), </w:t>
      </w:r>
      <w:r w:rsidRPr="00511A51">
        <w:t xml:space="preserve">наблюдалось </w:t>
      </w:r>
      <w:r w:rsidR="00E0507A" w:rsidRPr="00511A51">
        <w:t>заметное</w:t>
      </w:r>
      <w:r w:rsidRPr="00511A51">
        <w:t xml:space="preserve"> падение ёмкости от цикла к циклу</w:t>
      </w:r>
      <w:r w:rsidR="005414AF" w:rsidRPr="00511A51">
        <w:t xml:space="preserve">, </w:t>
      </w:r>
      <w:r w:rsidR="00E0507A" w:rsidRPr="00511A51">
        <w:t>которая</w:t>
      </w:r>
      <w:r w:rsidR="00213BAB" w:rsidRPr="00511A51">
        <w:t xml:space="preserve"> </w:t>
      </w:r>
      <w:r w:rsidR="00C066CC" w:rsidRPr="00171151">
        <w:t>к</w:t>
      </w:r>
      <w:r w:rsidR="00C066CC">
        <w:t xml:space="preserve"> </w:t>
      </w:r>
      <w:r w:rsidR="00213BAB" w:rsidRPr="00511A51">
        <w:t>1</w:t>
      </w:r>
      <w:r w:rsidR="0025606A" w:rsidRPr="00511A51">
        <w:t xml:space="preserve">0-му циклу </w:t>
      </w:r>
      <w:r w:rsidR="005414AF" w:rsidRPr="00511A51">
        <w:t>составила</w:t>
      </w:r>
      <w:r w:rsidR="00213BAB" w:rsidRPr="00511A51">
        <w:t xml:space="preserve"> 100 мАч/г</w:t>
      </w:r>
      <w:r w:rsidR="0025606A" w:rsidRPr="00511A51">
        <w:t>. Вероятной</w:t>
      </w:r>
      <w:r w:rsidR="00EC3CFC" w:rsidRPr="00511A51">
        <w:t xml:space="preserve"> причиной деградации </w:t>
      </w:r>
      <w:r w:rsidR="00E0507A" w:rsidRPr="00511A51">
        <w:t>электрохимических характеристик материала</w:t>
      </w:r>
      <w:r w:rsidR="0025606A" w:rsidRPr="00511A51">
        <w:t xml:space="preserve"> могу</w:t>
      </w:r>
      <w:r w:rsidR="00EC3CFC" w:rsidRPr="00511A51">
        <w:t xml:space="preserve">т являться </w:t>
      </w:r>
      <w:r w:rsidR="0025606A" w:rsidRPr="00511A51">
        <w:t>необратимы</w:t>
      </w:r>
      <w:r w:rsidR="00214C8B" w:rsidRPr="00511A51">
        <w:t xml:space="preserve">е </w:t>
      </w:r>
      <w:r w:rsidR="0025606A" w:rsidRPr="00511A51">
        <w:t xml:space="preserve">антиструктурные дефекты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Ti</m:t>
            </m:r>
          </m:e>
          <m:sub>
            <m:r>
              <w:rPr>
                <w:rFonts w:ascii="Cambria Math" w:hAnsi="Cambria Math"/>
              </w:rPr>
              <m:t>Ti</m:t>
            </m:r>
          </m:sub>
          <m:sup>
            <m:r>
              <w:rPr>
                <w:rFonts w:ascii="Cambria Math" w:hAnsi="Cambria Math"/>
              </w:rPr>
              <m:t>3+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Na1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  <m:r>
          <w:rPr>
            <w:rFonts w:ascii="Cambria Math" w:hAnsi="Cambria Math"/>
          </w:rPr>
          <m:t xml:space="preserve">⇄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Ti</m:t>
            </m:r>
          </m:e>
          <m:sub>
            <m:r>
              <w:rPr>
                <w:rFonts w:ascii="Cambria Math" w:hAnsi="Cambria Math"/>
              </w:rPr>
              <m:t>Na1</m:t>
            </m:r>
          </m:sub>
          <m:sup>
            <m:r>
              <w:rPr>
                <w:rFonts w:ascii="Cambria Math" w:hAnsi="Cambria Math"/>
              </w:rPr>
              <m:t>3+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Ti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</m:oMath>
      <w:r w:rsidR="0025606A" w:rsidRPr="00511A51">
        <w:t>, приводящие к блокировке диффузионный путей</w:t>
      </w:r>
      <w:r w:rsidR="00E0507A" w:rsidRPr="00511A51">
        <w:t xml:space="preserve"> в полианионном каркасе</w:t>
      </w:r>
      <w:r w:rsidR="0025606A" w:rsidRPr="00511A51">
        <w:t xml:space="preserve">. </w:t>
      </w:r>
      <w:r w:rsidR="004825D0" w:rsidRPr="00511A51">
        <w:rPr>
          <w:shd w:val="clear" w:color="auto" w:fill="FFFFFF"/>
        </w:rPr>
        <w:t>Согласно данным </w:t>
      </w:r>
      <w:r w:rsidR="004825D0" w:rsidRPr="00511A51">
        <w:rPr>
          <w:rStyle w:val="a8"/>
          <w:shd w:val="clear" w:color="auto" w:fill="FFFFFF"/>
        </w:rPr>
        <w:t>ex-situ</w:t>
      </w:r>
      <w:r w:rsidR="004825D0" w:rsidRPr="00511A51">
        <w:rPr>
          <w:shd w:val="clear" w:color="auto" w:fill="FFFFFF"/>
        </w:rPr>
        <w:t xml:space="preserve"> рентгеновской дифракции, </w:t>
      </w:r>
      <w:r w:rsidR="00E0507A" w:rsidRPr="00511A51">
        <w:rPr>
          <w:shd w:val="clear" w:color="auto" w:fill="FFFFFF"/>
        </w:rPr>
        <w:t xml:space="preserve">уже </w:t>
      </w:r>
      <w:r w:rsidR="004825D0" w:rsidRPr="00511A51">
        <w:rPr>
          <w:shd w:val="clear" w:color="auto" w:fill="FFFFFF"/>
        </w:rPr>
        <w:t xml:space="preserve">после </w:t>
      </w:r>
      <w:r w:rsidR="00E0507A" w:rsidRPr="00511A51">
        <w:rPr>
          <w:shd w:val="clear" w:color="auto" w:fill="FFFFFF"/>
        </w:rPr>
        <w:t>первого</w:t>
      </w:r>
      <w:r w:rsidR="004825D0" w:rsidRPr="00511A51">
        <w:rPr>
          <w:shd w:val="clear" w:color="auto" w:fill="FFFFFF"/>
        </w:rPr>
        <w:t xml:space="preserve"> цикла в</w:t>
      </w:r>
      <w:r w:rsidR="0045213A" w:rsidRPr="00511A51">
        <w:rPr>
          <w:shd w:val="clear" w:color="auto" w:fill="FFFFFF"/>
        </w:rPr>
        <w:t xml:space="preserve"> разряженном образце</w:t>
      </w:r>
      <w:r w:rsidR="004825D0" w:rsidRPr="00511A51">
        <w:rPr>
          <w:shd w:val="clear" w:color="auto" w:fill="FFFFFF"/>
        </w:rPr>
        <w:t xml:space="preserve"> </w:t>
      </w:r>
      <w:r w:rsidR="00E0507A" w:rsidRPr="00511A51">
        <w:rPr>
          <w:shd w:val="clear" w:color="auto" w:fill="FFFFFF"/>
        </w:rPr>
        <w:t xml:space="preserve">появляется </w:t>
      </w:r>
      <w:r w:rsidR="004825D0" w:rsidRPr="00511A51">
        <w:rPr>
          <w:shd w:val="clear" w:color="auto" w:fill="FFFFFF"/>
        </w:rPr>
        <w:t>остаточная электронная плотность</w:t>
      </w:r>
      <w:r w:rsidR="0045213A" w:rsidRPr="00511A51">
        <w:rPr>
          <w:shd w:val="clear" w:color="auto" w:fill="FFFFFF"/>
        </w:rPr>
        <w:t xml:space="preserve"> в позиции </w:t>
      </w:r>
      <w:r w:rsidR="0045213A" w:rsidRPr="00511A51">
        <w:rPr>
          <w:shd w:val="clear" w:color="auto" w:fill="FFFFFF"/>
          <w:lang w:val="en-US"/>
        </w:rPr>
        <w:t>Na</w:t>
      </w:r>
      <w:r w:rsidR="0045213A" w:rsidRPr="00511A51">
        <w:rPr>
          <w:shd w:val="clear" w:color="auto" w:fill="FFFFFF"/>
        </w:rPr>
        <w:t>1,</w:t>
      </w:r>
      <w:r w:rsidR="004825D0" w:rsidRPr="00511A51">
        <w:rPr>
          <w:shd w:val="clear" w:color="auto" w:fill="FFFFFF"/>
        </w:rPr>
        <w:t xml:space="preserve"> что подтверждает </w:t>
      </w:r>
      <w:r w:rsidR="0045213A" w:rsidRPr="00511A51">
        <w:rPr>
          <w:shd w:val="clear" w:color="auto" w:fill="FFFFFF"/>
        </w:rPr>
        <w:t xml:space="preserve">нашу </w:t>
      </w:r>
      <w:r w:rsidR="004825D0" w:rsidRPr="00511A51">
        <w:rPr>
          <w:shd w:val="clear" w:color="auto" w:fill="FFFFFF"/>
        </w:rPr>
        <w:t>гипотезу</w:t>
      </w:r>
      <w:r w:rsidR="0045213A" w:rsidRPr="00511A51">
        <w:rPr>
          <w:shd w:val="clear" w:color="auto" w:fill="FFFFFF"/>
        </w:rPr>
        <w:t xml:space="preserve">.  </w:t>
      </w:r>
    </w:p>
    <w:p w:rsidR="00AE00CE" w:rsidRPr="00C066CC" w:rsidRDefault="00214C8B" w:rsidP="006D6A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32638A">
        <w:rPr>
          <w:i/>
        </w:rPr>
        <w:t>Работа выполнена при финансовой поддержке гранта РНФ № 23-13-000-71.</w:t>
      </w:r>
    </w:p>
    <w:p w:rsidR="000D7E73" w:rsidRPr="000D7E73" w:rsidRDefault="000D7E73" w:rsidP="000D7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</w:rPr>
      </w:pPr>
      <w:r w:rsidRPr="000D7E73">
        <w:rPr>
          <w:b/>
        </w:rPr>
        <w:t>Литература</w:t>
      </w:r>
    </w:p>
    <w:p w:rsidR="0090070D" w:rsidRPr="00AC712A" w:rsidRDefault="00B54BDD" w:rsidP="008275C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en-US"/>
        </w:rPr>
      </w:pPr>
      <w:r w:rsidRPr="00171151">
        <w:rPr>
          <w:color w:val="0F1115"/>
          <w:lang w:val="en-US"/>
        </w:rPr>
        <w:t xml:space="preserve">1. </w:t>
      </w:r>
      <w:r w:rsidR="0090070D" w:rsidRPr="00B54BDD">
        <w:rPr>
          <w:color w:val="0F1115"/>
          <w:lang w:val="en-US"/>
        </w:rPr>
        <w:t>Khasanova</w:t>
      </w:r>
      <w:r w:rsidR="0090070D" w:rsidRPr="00171151">
        <w:rPr>
          <w:color w:val="0F1115"/>
          <w:lang w:val="en-US"/>
        </w:rPr>
        <w:t xml:space="preserve"> </w:t>
      </w:r>
      <w:r w:rsidR="0090070D" w:rsidRPr="00B54BDD">
        <w:rPr>
          <w:color w:val="0F1115"/>
          <w:lang w:val="en-US"/>
        </w:rPr>
        <w:t>N</w:t>
      </w:r>
      <w:r w:rsidR="0090070D" w:rsidRPr="00171151">
        <w:rPr>
          <w:color w:val="0F1115"/>
          <w:lang w:val="en-US"/>
        </w:rPr>
        <w:t>.</w:t>
      </w:r>
      <w:r w:rsidR="0090070D" w:rsidRPr="00B54BDD">
        <w:rPr>
          <w:color w:val="0F1115"/>
          <w:lang w:val="en-US"/>
        </w:rPr>
        <w:t>R</w:t>
      </w:r>
      <w:r w:rsidR="0090070D" w:rsidRPr="00171151">
        <w:rPr>
          <w:color w:val="0F1115"/>
          <w:lang w:val="en-US"/>
        </w:rPr>
        <w:t xml:space="preserve">., </w:t>
      </w:r>
      <w:r w:rsidR="0090070D" w:rsidRPr="00B54BDD">
        <w:rPr>
          <w:color w:val="0F1115"/>
          <w:lang w:val="en-US"/>
        </w:rPr>
        <w:t>Panin</w:t>
      </w:r>
      <w:r w:rsidR="0090070D" w:rsidRPr="00171151">
        <w:rPr>
          <w:color w:val="0F1115"/>
          <w:lang w:val="en-US"/>
        </w:rPr>
        <w:t xml:space="preserve"> </w:t>
      </w:r>
      <w:r w:rsidR="0090070D" w:rsidRPr="00B54BDD">
        <w:rPr>
          <w:color w:val="0F1115"/>
          <w:lang w:val="en-US"/>
        </w:rPr>
        <w:t>R</w:t>
      </w:r>
      <w:r w:rsidR="0090070D" w:rsidRPr="00171151">
        <w:rPr>
          <w:color w:val="0F1115"/>
          <w:lang w:val="en-US"/>
        </w:rPr>
        <w:t>.</w:t>
      </w:r>
      <w:r w:rsidR="0090070D" w:rsidRPr="00B54BDD">
        <w:rPr>
          <w:color w:val="0F1115"/>
          <w:lang w:val="en-US"/>
        </w:rPr>
        <w:t>V</w:t>
      </w:r>
      <w:r w:rsidR="0090070D" w:rsidRPr="00171151">
        <w:rPr>
          <w:color w:val="0F1115"/>
          <w:lang w:val="en-US"/>
        </w:rPr>
        <w:t xml:space="preserve">., </w:t>
      </w:r>
      <w:proofErr w:type="spellStart"/>
      <w:r w:rsidR="0090070D" w:rsidRPr="00B54BDD">
        <w:rPr>
          <w:color w:val="0F1115"/>
          <w:lang w:val="en-US"/>
        </w:rPr>
        <w:t>Cherkashchenko</w:t>
      </w:r>
      <w:proofErr w:type="spellEnd"/>
      <w:r w:rsidR="0090070D" w:rsidRPr="00171151">
        <w:rPr>
          <w:color w:val="0F1115"/>
          <w:lang w:val="en-US"/>
        </w:rPr>
        <w:t xml:space="preserve"> </w:t>
      </w:r>
      <w:r w:rsidR="0090070D" w:rsidRPr="00B54BDD">
        <w:rPr>
          <w:color w:val="0F1115"/>
          <w:lang w:val="en-US"/>
        </w:rPr>
        <w:t>I</w:t>
      </w:r>
      <w:r w:rsidR="0090070D" w:rsidRPr="00171151">
        <w:rPr>
          <w:color w:val="0F1115"/>
          <w:lang w:val="en-US"/>
        </w:rPr>
        <w:t>.</w:t>
      </w:r>
      <w:r w:rsidR="0090070D" w:rsidRPr="00B54BDD">
        <w:rPr>
          <w:color w:val="0F1115"/>
          <w:lang w:val="en-US"/>
        </w:rPr>
        <w:t>R</w:t>
      </w:r>
      <w:r w:rsidR="0090070D" w:rsidRPr="00171151">
        <w:rPr>
          <w:color w:val="0F1115"/>
          <w:lang w:val="en-US"/>
        </w:rPr>
        <w:t xml:space="preserve">., </w:t>
      </w:r>
      <w:r w:rsidR="0090070D" w:rsidRPr="00B54BDD">
        <w:rPr>
          <w:color w:val="0F1115"/>
          <w:lang w:val="en-US"/>
        </w:rPr>
        <w:t>et</w:t>
      </w:r>
      <w:r w:rsidR="0090070D" w:rsidRPr="00171151">
        <w:rPr>
          <w:color w:val="0F1115"/>
          <w:lang w:val="en-US"/>
        </w:rPr>
        <w:t xml:space="preserve"> </w:t>
      </w:r>
      <w:r w:rsidR="0090070D" w:rsidRPr="00B54BDD">
        <w:rPr>
          <w:color w:val="0F1115"/>
          <w:lang w:val="en-US"/>
        </w:rPr>
        <w:t>al</w:t>
      </w:r>
      <w:r w:rsidR="0090070D" w:rsidRPr="00171151">
        <w:rPr>
          <w:color w:val="0F1115"/>
          <w:lang w:val="en-US"/>
        </w:rPr>
        <w:t xml:space="preserve">. </w:t>
      </w:r>
      <w:proofErr w:type="spellStart"/>
      <w:proofErr w:type="gramStart"/>
      <w:r w:rsidR="0090070D" w:rsidRPr="00B54BDD">
        <w:rPr>
          <w:color w:val="0F1115"/>
          <w:lang w:val="en-US"/>
        </w:rPr>
        <w:t>NaNbV</w:t>
      </w:r>
      <w:proofErr w:type="spellEnd"/>
      <w:r w:rsidR="00170C33" w:rsidRPr="00AE00CE">
        <w:rPr>
          <w:color w:val="0F1115"/>
          <w:shd w:val="clear" w:color="auto" w:fill="FFFFFF"/>
          <w:lang w:val="en-US"/>
        </w:rPr>
        <w:t>(</w:t>
      </w:r>
      <w:proofErr w:type="gramEnd"/>
      <w:r w:rsidR="00170C33" w:rsidRPr="00AE00CE">
        <w:rPr>
          <w:color w:val="0F1115"/>
          <w:shd w:val="clear" w:color="auto" w:fill="FFFFFF"/>
          <w:lang w:val="en-US"/>
        </w:rPr>
        <w:t>PO</w:t>
      </w:r>
      <w:r w:rsidR="00170C33" w:rsidRPr="00170C33">
        <w:rPr>
          <w:color w:val="0F1115"/>
          <w:shd w:val="clear" w:color="auto" w:fill="FFFFFF"/>
          <w:vertAlign w:val="subscript"/>
          <w:lang w:val="en-US"/>
        </w:rPr>
        <w:t>4</w:t>
      </w:r>
      <w:r w:rsidR="00170C33" w:rsidRPr="00AE00CE">
        <w:rPr>
          <w:color w:val="0F1115"/>
          <w:shd w:val="clear" w:color="auto" w:fill="FFFFFF"/>
          <w:lang w:val="en-US"/>
        </w:rPr>
        <w:t>)</w:t>
      </w:r>
      <w:r w:rsidR="00170C33" w:rsidRPr="00170C33">
        <w:rPr>
          <w:color w:val="0F1115"/>
          <w:shd w:val="clear" w:color="auto" w:fill="FFFFFF"/>
          <w:vertAlign w:val="subscript"/>
          <w:lang w:val="en-US"/>
        </w:rPr>
        <w:t>3</w:t>
      </w:r>
      <w:r w:rsidR="0090070D" w:rsidRPr="00B54BDD">
        <w:rPr>
          <w:color w:val="0F1115"/>
          <w:lang w:val="en-US"/>
        </w:rPr>
        <w:t xml:space="preserve">: Multielectron NASICON-Type Anode Material for Na-Ion Batteries with Excellent Rate Capability // ACS Appl. </w:t>
      </w:r>
      <w:r w:rsidR="0090070D" w:rsidRPr="0090070D">
        <w:rPr>
          <w:color w:val="0F1115"/>
          <w:lang w:val="en-US"/>
        </w:rPr>
        <w:t>Mater. Interfaces</w:t>
      </w:r>
      <w:r w:rsidR="006211AC">
        <w:rPr>
          <w:color w:val="0F1115"/>
          <w:lang w:val="en-US"/>
        </w:rPr>
        <w:t xml:space="preserve">. </w:t>
      </w:r>
      <w:r w:rsidR="0090070D" w:rsidRPr="0090070D">
        <w:rPr>
          <w:color w:val="0F1115"/>
          <w:lang w:val="en-US"/>
        </w:rPr>
        <w:t>2023</w:t>
      </w:r>
      <w:r w:rsidR="0090070D">
        <w:rPr>
          <w:color w:val="0F1115"/>
          <w:lang w:val="en-US"/>
        </w:rPr>
        <w:t xml:space="preserve">. Vol. </w:t>
      </w:r>
      <w:r w:rsidR="0090070D" w:rsidRPr="0090070D">
        <w:rPr>
          <w:color w:val="0F1115"/>
          <w:lang w:val="en-US"/>
        </w:rPr>
        <w:t>15</w:t>
      </w:r>
      <w:r w:rsidR="008275C3">
        <w:rPr>
          <w:color w:val="0F1115"/>
        </w:rPr>
        <w:t>,</w:t>
      </w:r>
      <w:r w:rsidR="0090070D">
        <w:rPr>
          <w:color w:val="0F1115"/>
          <w:lang w:val="en-US"/>
        </w:rPr>
        <w:t xml:space="preserve"> </w:t>
      </w:r>
      <w:r w:rsidR="008275C3">
        <w:rPr>
          <w:color w:val="0F1115"/>
        </w:rPr>
        <w:t>№</w:t>
      </w:r>
      <w:r w:rsidR="0090070D">
        <w:rPr>
          <w:color w:val="0F1115"/>
          <w:lang w:val="en-US"/>
        </w:rPr>
        <w:t xml:space="preserve"> </w:t>
      </w:r>
      <w:r w:rsidR="0090070D" w:rsidRPr="0090070D">
        <w:rPr>
          <w:color w:val="0F1115"/>
          <w:lang w:val="en-US"/>
        </w:rPr>
        <w:t>25</w:t>
      </w:r>
      <w:r w:rsidR="0090070D">
        <w:rPr>
          <w:color w:val="0F1115"/>
          <w:lang w:val="en-US"/>
        </w:rPr>
        <w:t>. P</w:t>
      </w:r>
      <w:r w:rsidR="0090070D" w:rsidRPr="00AC712A">
        <w:rPr>
          <w:color w:val="0F1115"/>
          <w:lang w:val="en-US"/>
        </w:rPr>
        <w:t xml:space="preserve">. 30272-302780. </w:t>
      </w:r>
    </w:p>
    <w:p w:rsidR="00B54BDD" w:rsidRDefault="00B54BDD" w:rsidP="008275C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en-US"/>
        </w:rPr>
      </w:pPr>
      <w:r w:rsidRPr="0090070D">
        <w:rPr>
          <w:color w:val="0F1115"/>
          <w:lang w:val="en-US"/>
        </w:rPr>
        <w:t>2.</w:t>
      </w:r>
      <w:r w:rsidR="0090070D" w:rsidRPr="0090070D">
        <w:rPr>
          <w:color w:val="0F1115"/>
          <w:lang w:val="en-US"/>
        </w:rPr>
        <w:t xml:space="preserve"> </w:t>
      </w:r>
      <w:proofErr w:type="spellStart"/>
      <w:r w:rsidR="00AE00CE" w:rsidRPr="00AE00CE">
        <w:rPr>
          <w:color w:val="0F1115"/>
          <w:shd w:val="clear" w:color="auto" w:fill="FFFFFF"/>
          <w:lang w:val="en-US"/>
        </w:rPr>
        <w:t>Cherkashchenko</w:t>
      </w:r>
      <w:proofErr w:type="spellEnd"/>
      <w:r w:rsidR="00AE00CE" w:rsidRPr="00AE00CE">
        <w:rPr>
          <w:color w:val="0F1115"/>
          <w:shd w:val="clear" w:color="auto" w:fill="FFFFFF"/>
          <w:lang w:val="en-US"/>
        </w:rPr>
        <w:t xml:space="preserve"> I.R., Panin R.V., </w:t>
      </w:r>
      <w:proofErr w:type="spellStart"/>
      <w:r w:rsidR="00AE00CE" w:rsidRPr="00AE00CE">
        <w:rPr>
          <w:color w:val="0F1115"/>
          <w:shd w:val="clear" w:color="auto" w:fill="FFFFFF"/>
          <w:lang w:val="en-US"/>
        </w:rPr>
        <w:t>Dembitskiy</w:t>
      </w:r>
      <w:proofErr w:type="spellEnd"/>
      <w:r w:rsidR="00AE00CE" w:rsidRPr="00AE00CE">
        <w:rPr>
          <w:color w:val="0F1115"/>
          <w:shd w:val="clear" w:color="auto" w:fill="FFFFFF"/>
          <w:lang w:val="en-US"/>
        </w:rPr>
        <w:t xml:space="preserve"> A.D., et al. Reversible multielectron redox activity of the anti-NASICON-type phosphate </w:t>
      </w:r>
      <w:proofErr w:type="spellStart"/>
      <w:r w:rsidR="00AE00CE" w:rsidRPr="00AE00CE">
        <w:rPr>
          <w:color w:val="0F1115"/>
          <w:shd w:val="clear" w:color="auto" w:fill="FFFFFF"/>
          <w:lang w:val="en-US"/>
        </w:rPr>
        <w:t>LiNbV</w:t>
      </w:r>
      <w:proofErr w:type="spellEnd"/>
      <w:r w:rsidR="00AE00CE" w:rsidRPr="00AE00CE">
        <w:rPr>
          <w:color w:val="0F1115"/>
          <w:shd w:val="clear" w:color="auto" w:fill="FFFFFF"/>
          <w:lang w:val="en-US"/>
        </w:rPr>
        <w:t>(PO</w:t>
      </w:r>
      <w:r w:rsidR="00AE00CE" w:rsidRPr="00170C33">
        <w:rPr>
          <w:color w:val="0F1115"/>
          <w:shd w:val="clear" w:color="auto" w:fill="FFFFFF"/>
          <w:vertAlign w:val="subscript"/>
          <w:lang w:val="en-US"/>
        </w:rPr>
        <w:t>4</w:t>
      </w:r>
      <w:r w:rsidR="00AE00CE" w:rsidRPr="00AE00CE">
        <w:rPr>
          <w:color w:val="0F1115"/>
          <w:shd w:val="clear" w:color="auto" w:fill="FFFFFF"/>
          <w:lang w:val="en-US"/>
        </w:rPr>
        <w:t>)</w:t>
      </w:r>
      <w:r w:rsidR="00AE00CE" w:rsidRPr="00170C33">
        <w:rPr>
          <w:color w:val="0F1115"/>
          <w:shd w:val="clear" w:color="auto" w:fill="FFFFFF"/>
          <w:vertAlign w:val="subscript"/>
          <w:lang w:val="en-US"/>
        </w:rPr>
        <w:t>3</w:t>
      </w:r>
      <w:r w:rsidR="00AE00CE" w:rsidRPr="00AE00CE">
        <w:rPr>
          <w:color w:val="0F1115"/>
          <w:shd w:val="clear" w:color="auto" w:fill="FFFFFF"/>
          <w:lang w:val="en-US"/>
        </w:rPr>
        <w:t xml:space="preserve"> towards lithium and </w:t>
      </w:r>
      <w:r w:rsidR="007A5873">
        <w:rPr>
          <w:color w:val="0F1115"/>
          <w:shd w:val="clear" w:color="auto" w:fill="FFFFFF"/>
          <w:lang w:val="en-US"/>
        </w:rPr>
        <w:t>sodium intercalation // J</w:t>
      </w:r>
      <w:r w:rsidR="007A5873" w:rsidRPr="007A5873">
        <w:rPr>
          <w:color w:val="0F1115"/>
          <w:shd w:val="clear" w:color="auto" w:fill="FFFFFF"/>
          <w:lang w:val="en-US"/>
        </w:rPr>
        <w:t>.</w:t>
      </w:r>
      <w:r w:rsidR="007A5873">
        <w:rPr>
          <w:color w:val="0F1115"/>
          <w:shd w:val="clear" w:color="auto" w:fill="FFFFFF"/>
          <w:lang w:val="en-US"/>
        </w:rPr>
        <w:t xml:space="preserve"> Mate</w:t>
      </w:r>
      <w:r w:rsidR="00A64388" w:rsidRPr="00171151">
        <w:rPr>
          <w:color w:val="0F1115"/>
          <w:shd w:val="clear" w:color="auto" w:fill="FFFFFF"/>
          <w:lang w:val="en-US"/>
        </w:rPr>
        <w:t>r</w:t>
      </w:r>
      <w:r w:rsidR="007A5873" w:rsidRPr="007A5873">
        <w:rPr>
          <w:color w:val="0F1115"/>
          <w:shd w:val="clear" w:color="auto" w:fill="FFFFFF"/>
          <w:lang w:val="en-US"/>
        </w:rPr>
        <w:t>.</w:t>
      </w:r>
      <w:r w:rsidR="007A5873">
        <w:rPr>
          <w:color w:val="0F1115"/>
          <w:shd w:val="clear" w:color="auto" w:fill="FFFFFF"/>
          <w:lang w:val="en-US"/>
        </w:rPr>
        <w:t xml:space="preserve"> Chem</w:t>
      </w:r>
      <w:r w:rsidR="007A5873" w:rsidRPr="00A64388">
        <w:rPr>
          <w:color w:val="0F1115"/>
          <w:shd w:val="clear" w:color="auto" w:fill="FFFFFF"/>
          <w:lang w:val="en-US"/>
        </w:rPr>
        <w:t>.</w:t>
      </w:r>
      <w:r w:rsidR="00854CDF">
        <w:rPr>
          <w:color w:val="0F1115"/>
          <w:shd w:val="clear" w:color="auto" w:fill="FFFFFF"/>
          <w:lang w:val="en-US"/>
        </w:rPr>
        <w:t xml:space="preserve"> A</w:t>
      </w:r>
      <w:r w:rsidR="002C686C">
        <w:rPr>
          <w:color w:val="0F1115"/>
          <w:shd w:val="clear" w:color="auto" w:fill="FFFFFF"/>
          <w:lang w:val="en-US"/>
        </w:rPr>
        <w:t>. 2024</w:t>
      </w:r>
      <w:r w:rsidR="00AE00CE" w:rsidRPr="00AE00CE">
        <w:rPr>
          <w:color w:val="0F1115"/>
          <w:shd w:val="clear" w:color="auto" w:fill="FFFFFF"/>
          <w:lang w:val="en-US"/>
        </w:rPr>
        <w:t xml:space="preserve">. </w:t>
      </w:r>
      <w:r w:rsidR="002C686C" w:rsidRPr="002C686C">
        <w:rPr>
          <w:color w:val="0F1115"/>
          <w:shd w:val="clear" w:color="auto" w:fill="FFFFFF"/>
          <w:lang w:val="en-US"/>
        </w:rPr>
        <w:t>Vol. 53</w:t>
      </w:r>
      <w:r w:rsidR="002C686C">
        <w:rPr>
          <w:color w:val="0F1115"/>
          <w:shd w:val="clear" w:color="auto" w:fill="FFFFFF"/>
          <w:lang w:val="en-US"/>
        </w:rPr>
        <w:t xml:space="preserve">, </w:t>
      </w:r>
      <w:r w:rsidR="008275C3">
        <w:rPr>
          <w:color w:val="0F1115"/>
        </w:rPr>
        <w:t>№</w:t>
      </w:r>
      <w:r w:rsidR="002C686C">
        <w:rPr>
          <w:color w:val="0F1115"/>
          <w:shd w:val="clear" w:color="auto" w:fill="FFFFFF"/>
          <w:lang w:val="en-US"/>
        </w:rPr>
        <w:t xml:space="preserve"> </w:t>
      </w:r>
      <w:r w:rsidR="002C686C" w:rsidRPr="002C686C">
        <w:rPr>
          <w:color w:val="0F1115"/>
          <w:shd w:val="clear" w:color="auto" w:fill="FFFFFF"/>
          <w:lang w:val="en-US"/>
        </w:rPr>
        <w:t>41</w:t>
      </w:r>
      <w:r w:rsidR="00AE00CE" w:rsidRPr="002C686C">
        <w:rPr>
          <w:color w:val="0F1115"/>
          <w:shd w:val="clear" w:color="auto" w:fill="FFFFFF"/>
          <w:lang w:val="en-US"/>
        </w:rPr>
        <w:t xml:space="preserve">. P. </w:t>
      </w:r>
      <w:r w:rsidR="002C686C" w:rsidRPr="002C686C">
        <w:rPr>
          <w:rFonts w:eastAsiaTheme="minorHAnsi"/>
          <w:lang w:val="en-US" w:eastAsia="en-US"/>
        </w:rPr>
        <w:t>16918-16928</w:t>
      </w:r>
      <w:r w:rsidR="00AE00CE" w:rsidRPr="002C686C">
        <w:rPr>
          <w:color w:val="0F1115"/>
          <w:shd w:val="clear" w:color="auto" w:fill="FFFFFF"/>
          <w:lang w:val="en-US"/>
        </w:rPr>
        <w:t>.</w:t>
      </w:r>
      <w:r w:rsidR="00AE00CE" w:rsidRPr="002C686C">
        <w:rPr>
          <w:rFonts w:ascii="Segoe UI" w:hAnsi="Segoe UI" w:cs="Segoe UI"/>
          <w:color w:val="0F1115"/>
          <w:sz w:val="19"/>
          <w:szCs w:val="19"/>
          <w:shd w:val="clear" w:color="auto" w:fill="FFFFFF"/>
          <w:lang w:val="en-US"/>
        </w:rPr>
        <w:t> </w:t>
      </w:r>
    </w:p>
    <w:p w:rsidR="00CB75E3" w:rsidRPr="006211AC" w:rsidRDefault="001C74A5" w:rsidP="008275C3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lang w:val="en-US"/>
        </w:rPr>
      </w:pPr>
      <w:r w:rsidRPr="001C74A5">
        <w:rPr>
          <w:color w:val="0F1115"/>
          <w:lang w:val="en-US"/>
        </w:rPr>
        <w:t>3. Zhang J., Chen L., Niu L., et al. Na</w:t>
      </w:r>
      <w:r w:rsidR="00170C33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Superionic</w:t>
      </w:r>
      <w:r w:rsidR="00170C33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Conductor-Type</w:t>
      </w:r>
      <w:r w:rsidR="00170C33">
        <w:rPr>
          <w:color w:val="0F1115"/>
          <w:lang w:val="en-US"/>
        </w:rPr>
        <w:t xml:space="preserve"> </w:t>
      </w:r>
      <w:proofErr w:type="spellStart"/>
      <w:r w:rsidRPr="001C74A5">
        <w:rPr>
          <w:color w:val="0F1115"/>
          <w:lang w:val="en-US"/>
        </w:rPr>
        <w:t>TiNb</w:t>
      </w:r>
      <w:proofErr w:type="spellEnd"/>
      <w:r w:rsidR="00170C33" w:rsidRPr="00AE00CE">
        <w:rPr>
          <w:color w:val="0F1115"/>
          <w:shd w:val="clear" w:color="auto" w:fill="FFFFFF"/>
          <w:lang w:val="en-US"/>
        </w:rPr>
        <w:t>(PO</w:t>
      </w:r>
      <w:r w:rsidR="00170C33" w:rsidRPr="00170C33">
        <w:rPr>
          <w:color w:val="0F1115"/>
          <w:shd w:val="clear" w:color="auto" w:fill="FFFFFF"/>
          <w:vertAlign w:val="subscript"/>
          <w:lang w:val="en-US"/>
        </w:rPr>
        <w:t>4</w:t>
      </w:r>
      <w:r w:rsidR="00170C33" w:rsidRPr="00AE00CE">
        <w:rPr>
          <w:color w:val="0F1115"/>
          <w:shd w:val="clear" w:color="auto" w:fill="FFFFFF"/>
          <w:lang w:val="en-US"/>
        </w:rPr>
        <w:t>)</w:t>
      </w:r>
      <w:r w:rsidR="00170C33" w:rsidRPr="00170C33">
        <w:rPr>
          <w:color w:val="0F1115"/>
          <w:shd w:val="clear" w:color="auto" w:fill="FFFFFF"/>
          <w:vertAlign w:val="subscript"/>
          <w:lang w:val="en-US"/>
        </w:rPr>
        <w:t>3</w:t>
      </w:r>
      <w:r w:rsidR="00170C33">
        <w:rPr>
          <w:color w:val="0F1115"/>
          <w:shd w:val="clear" w:color="auto" w:fill="FFFFFF"/>
          <w:vertAlign w:val="subscript"/>
          <w:lang w:val="en-US"/>
        </w:rPr>
        <w:t xml:space="preserve"> </w:t>
      </w:r>
      <w:r w:rsidRPr="001C74A5">
        <w:rPr>
          <w:color w:val="0F1115"/>
          <w:lang w:val="en-US"/>
        </w:rPr>
        <w:t>Anode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with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High</w:t>
      </w:r>
      <w:r w:rsidR="006211AC" w:rsidRPr="006211AC">
        <w:rPr>
          <w:color w:val="0F1115"/>
          <w:lang w:val="en-US"/>
        </w:rPr>
        <w:t xml:space="preserve"> </w:t>
      </w:r>
      <w:r w:rsidR="00016CD9">
        <w:rPr>
          <w:color w:val="0F1115"/>
          <w:lang w:val="en-US"/>
        </w:rPr>
        <w:t xml:space="preserve">Energy </w:t>
      </w:r>
      <w:r w:rsidRPr="001C74A5">
        <w:rPr>
          <w:color w:val="0F1115"/>
          <w:lang w:val="en-US"/>
        </w:rPr>
        <w:t>Density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and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Long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Cycle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Life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Enables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Aqueous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>Alkaline-Ion</w:t>
      </w:r>
      <w:r w:rsidR="006211AC" w:rsidRPr="006211AC">
        <w:rPr>
          <w:color w:val="0F1115"/>
          <w:lang w:val="en-US"/>
        </w:rPr>
        <w:t xml:space="preserve"> </w:t>
      </w:r>
      <w:r w:rsidRPr="001C74A5">
        <w:rPr>
          <w:color w:val="0F1115"/>
          <w:lang w:val="en-US"/>
        </w:rPr>
        <w:t xml:space="preserve">Batteries // ACS Appl. </w:t>
      </w:r>
      <w:r w:rsidRPr="006211AC">
        <w:rPr>
          <w:color w:val="0F1115"/>
          <w:lang w:val="en-US"/>
        </w:rPr>
        <w:t>Mater. Interfaces.</w:t>
      </w:r>
      <w:r w:rsidR="00016CD9">
        <w:rPr>
          <w:color w:val="0F1115"/>
          <w:lang w:val="en-US"/>
        </w:rPr>
        <w:t xml:space="preserve"> </w:t>
      </w:r>
      <w:r w:rsidRPr="006211AC">
        <w:rPr>
          <w:color w:val="0F1115"/>
          <w:lang w:val="en-US"/>
        </w:rPr>
        <w:t xml:space="preserve">2019. Vol. 11, </w:t>
      </w:r>
      <w:r w:rsidR="008275C3">
        <w:rPr>
          <w:color w:val="0F1115"/>
        </w:rPr>
        <w:t>№</w:t>
      </w:r>
      <w:r w:rsidRPr="006211AC">
        <w:rPr>
          <w:color w:val="0F1115"/>
          <w:lang w:val="en-US"/>
        </w:rPr>
        <w:t xml:space="preserve"> 43. P. 39757–39764.</w:t>
      </w:r>
    </w:p>
    <w:sectPr w:rsidR="00CB75E3" w:rsidRPr="006211AC" w:rsidSect="009128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02F9C"/>
    <w:multiLevelType w:val="hybridMultilevel"/>
    <w:tmpl w:val="D7CA23C4"/>
    <w:lvl w:ilvl="0" w:tplc="BC743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72321"/>
    <w:multiLevelType w:val="hybridMultilevel"/>
    <w:tmpl w:val="6902D4EA"/>
    <w:lvl w:ilvl="0" w:tplc="43940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E60441"/>
    <w:multiLevelType w:val="multilevel"/>
    <w:tmpl w:val="AA5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00BE7"/>
    <w:multiLevelType w:val="hybridMultilevel"/>
    <w:tmpl w:val="22AC89CA"/>
    <w:lvl w:ilvl="0" w:tplc="36526E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32698266">
    <w:abstractNumId w:val="1"/>
  </w:num>
  <w:num w:numId="2" w16cid:durableId="1523084246">
    <w:abstractNumId w:val="0"/>
  </w:num>
  <w:num w:numId="3" w16cid:durableId="1894854134">
    <w:abstractNumId w:val="2"/>
  </w:num>
  <w:num w:numId="4" w16cid:durableId="192021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3AA"/>
    <w:rsid w:val="00016CD9"/>
    <w:rsid w:val="00065993"/>
    <w:rsid w:val="00073DEF"/>
    <w:rsid w:val="00097AB1"/>
    <w:rsid w:val="000C48EE"/>
    <w:rsid w:val="000D7E73"/>
    <w:rsid w:val="00170C33"/>
    <w:rsid w:val="00171151"/>
    <w:rsid w:val="00172FD1"/>
    <w:rsid w:val="00183BE4"/>
    <w:rsid w:val="001970F5"/>
    <w:rsid w:val="001C74A5"/>
    <w:rsid w:val="00204108"/>
    <w:rsid w:val="00213BAB"/>
    <w:rsid w:val="00214C8B"/>
    <w:rsid w:val="00224C77"/>
    <w:rsid w:val="0025606A"/>
    <w:rsid w:val="002C686C"/>
    <w:rsid w:val="003057DD"/>
    <w:rsid w:val="0032638A"/>
    <w:rsid w:val="003B2730"/>
    <w:rsid w:val="0045213A"/>
    <w:rsid w:val="004825D0"/>
    <w:rsid w:val="00505110"/>
    <w:rsid w:val="00511A51"/>
    <w:rsid w:val="005220D5"/>
    <w:rsid w:val="005414AF"/>
    <w:rsid w:val="00587983"/>
    <w:rsid w:val="005C1A1F"/>
    <w:rsid w:val="005C52B1"/>
    <w:rsid w:val="005F43D9"/>
    <w:rsid w:val="006211AC"/>
    <w:rsid w:val="00681312"/>
    <w:rsid w:val="006D6A19"/>
    <w:rsid w:val="006E0D90"/>
    <w:rsid w:val="0071139B"/>
    <w:rsid w:val="00753AE3"/>
    <w:rsid w:val="007A5873"/>
    <w:rsid w:val="00816881"/>
    <w:rsid w:val="0082273D"/>
    <w:rsid w:val="008275C3"/>
    <w:rsid w:val="00854CDF"/>
    <w:rsid w:val="00886CA1"/>
    <w:rsid w:val="008A0ECC"/>
    <w:rsid w:val="008D2FD2"/>
    <w:rsid w:val="008D4EAC"/>
    <w:rsid w:val="008F4C9F"/>
    <w:rsid w:val="0090070D"/>
    <w:rsid w:val="00912833"/>
    <w:rsid w:val="00945425"/>
    <w:rsid w:val="00955087"/>
    <w:rsid w:val="009B0B87"/>
    <w:rsid w:val="009E06A4"/>
    <w:rsid w:val="009F0C89"/>
    <w:rsid w:val="009F75C5"/>
    <w:rsid w:val="00A47AEA"/>
    <w:rsid w:val="00A64388"/>
    <w:rsid w:val="00A64F87"/>
    <w:rsid w:val="00A8579E"/>
    <w:rsid w:val="00AC712A"/>
    <w:rsid w:val="00AE00CE"/>
    <w:rsid w:val="00AF0A67"/>
    <w:rsid w:val="00B24AC2"/>
    <w:rsid w:val="00B54BDD"/>
    <w:rsid w:val="00BB3B6F"/>
    <w:rsid w:val="00BC74CA"/>
    <w:rsid w:val="00BE2D1A"/>
    <w:rsid w:val="00C066CC"/>
    <w:rsid w:val="00CB75E3"/>
    <w:rsid w:val="00D17AFE"/>
    <w:rsid w:val="00D8671C"/>
    <w:rsid w:val="00DC3440"/>
    <w:rsid w:val="00DD0E8C"/>
    <w:rsid w:val="00E0507A"/>
    <w:rsid w:val="00E95BEB"/>
    <w:rsid w:val="00E973AA"/>
    <w:rsid w:val="00EC11B3"/>
    <w:rsid w:val="00EC3CFC"/>
    <w:rsid w:val="00ED70DE"/>
    <w:rsid w:val="00F079D9"/>
    <w:rsid w:val="00F102BD"/>
    <w:rsid w:val="00F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224F2"/>
  <w15:docId w15:val="{A5F511DB-1AF2-4ED2-A88C-6E3EF94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C1A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8798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14C8B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5C1A1F"/>
    <w:rPr>
      <w:i/>
      <w:iCs/>
    </w:rPr>
  </w:style>
  <w:style w:type="character" w:styleId="a7">
    <w:name w:val="Strong"/>
    <w:basedOn w:val="a0"/>
    <w:uiPriority w:val="22"/>
    <w:qFormat/>
    <w:rsid w:val="005C1A1F"/>
    <w:rPr>
      <w:b/>
      <w:bCs/>
    </w:rPr>
  </w:style>
  <w:style w:type="character" w:styleId="a8">
    <w:name w:val="Emphasis"/>
    <w:basedOn w:val="a0"/>
    <w:uiPriority w:val="20"/>
    <w:qFormat/>
    <w:rsid w:val="005C1A1F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C1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5C1A1F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8F4C9F"/>
    <w:pPr>
      <w:spacing w:before="100" w:beforeAutospacing="1" w:after="100" w:afterAutospacing="1"/>
    </w:pPr>
  </w:style>
  <w:style w:type="character" w:styleId="aa">
    <w:name w:val="Placeholder Text"/>
    <w:basedOn w:val="a0"/>
    <w:uiPriority w:val="99"/>
    <w:semiHidden/>
    <w:rsid w:val="005220D5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AC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7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Andrey Dobrovolskii</cp:lastModifiedBy>
  <cp:revision>6</cp:revision>
  <dcterms:created xsi:type="dcterms:W3CDTF">2026-03-02T16:39:00Z</dcterms:created>
  <dcterms:modified xsi:type="dcterms:W3CDTF">2026-03-16T16:24:00Z</dcterms:modified>
</cp:coreProperties>
</file>