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8B68" w14:textId="27EB88C4" w:rsidR="000D0AFA" w:rsidRPr="007047B1" w:rsidRDefault="000D0AFA" w:rsidP="007047B1">
      <w:pPr>
        <w:pStyle w:val="ac"/>
        <w:spacing w:line="240" w:lineRule="auto"/>
        <w:contextualSpacing/>
        <w:rPr>
          <w:rFonts w:cs="Times New Roman"/>
          <w:sz w:val="24"/>
          <w:szCs w:val="24"/>
        </w:rPr>
      </w:pPr>
      <w:r w:rsidRPr="007047B1">
        <w:rPr>
          <w:rFonts w:cs="Times New Roman"/>
          <w:caps w:val="0"/>
          <w:sz w:val="24"/>
          <w:szCs w:val="24"/>
        </w:rPr>
        <w:t xml:space="preserve">Изучение </w:t>
      </w:r>
      <w:r w:rsidR="00D71C4D" w:rsidRPr="007047B1">
        <w:rPr>
          <w:rFonts w:eastAsia="SimSun" w:cs="Times New Roman"/>
          <w:caps w:val="0"/>
          <w:sz w:val="24"/>
          <w:szCs w:val="24"/>
          <w:lang w:eastAsia="zh-CN"/>
        </w:rPr>
        <w:t xml:space="preserve">координации 10-(2-(2-(4-фенилтиазо-2-ил)гидразинилиден)фенантрен-9(10H)-она </w:t>
      </w:r>
      <w:r w:rsidR="00D71C4D" w:rsidRPr="007047B1">
        <w:rPr>
          <w:rFonts w:eastAsia="SimSun" w:cs="Times New Roman"/>
          <w:sz w:val="24"/>
          <w:szCs w:val="24"/>
          <w:lang w:eastAsia="zh-CN"/>
        </w:rPr>
        <w:t>(I)</w:t>
      </w:r>
      <w:r w:rsidR="00D71C4D" w:rsidRPr="007047B1">
        <w:rPr>
          <w:rFonts w:cs="Times New Roman"/>
          <w:sz w:val="24"/>
          <w:szCs w:val="24"/>
        </w:rPr>
        <w:t xml:space="preserve"> </w:t>
      </w:r>
      <w:r w:rsidR="00D71C4D" w:rsidRPr="007047B1">
        <w:rPr>
          <w:rFonts w:eastAsia="SimSun" w:cs="Times New Roman"/>
          <w:caps w:val="0"/>
          <w:sz w:val="24"/>
          <w:szCs w:val="24"/>
          <w:lang w:eastAsia="zh-CN"/>
        </w:rPr>
        <w:t xml:space="preserve">с некоторыми d-металлами </w:t>
      </w:r>
    </w:p>
    <w:p w14:paraId="0534C24B" w14:textId="428F2261" w:rsidR="000D0AFA" w:rsidRPr="007047B1" w:rsidRDefault="00D71C4D" w:rsidP="007047B1">
      <w:pPr>
        <w:shd w:val="clear" w:color="auto" w:fill="FFFFFF"/>
        <w:contextualSpacing/>
        <w:jc w:val="center"/>
        <w:rPr>
          <w:b/>
          <w:bCs/>
          <w:i/>
          <w:iCs/>
          <w:vertAlign w:val="superscript"/>
        </w:rPr>
      </w:pPr>
      <w:r w:rsidRPr="007047B1">
        <w:rPr>
          <w:rStyle w:val="af"/>
          <w:rFonts w:cs="Times New Roman"/>
          <w:b/>
          <w:bCs/>
          <w:i/>
          <w:u w:val="none"/>
        </w:rPr>
        <w:t>Бударин</w:t>
      </w:r>
      <w:r w:rsidR="000D0AFA" w:rsidRPr="007047B1">
        <w:rPr>
          <w:rStyle w:val="af"/>
          <w:rFonts w:cs="Times New Roman"/>
          <w:b/>
          <w:bCs/>
          <w:i/>
          <w:u w:val="none"/>
        </w:rPr>
        <w:t xml:space="preserve"> </w:t>
      </w:r>
      <w:r w:rsidRPr="007047B1">
        <w:rPr>
          <w:rStyle w:val="af"/>
          <w:rFonts w:cs="Times New Roman"/>
          <w:b/>
          <w:bCs/>
          <w:i/>
          <w:u w:val="none"/>
        </w:rPr>
        <w:t>Н.</w:t>
      </w:r>
      <w:r w:rsidR="000D0AFA" w:rsidRPr="007047B1">
        <w:rPr>
          <w:rStyle w:val="af"/>
          <w:rFonts w:cs="Times New Roman"/>
          <w:b/>
          <w:bCs/>
          <w:i/>
          <w:u w:val="none"/>
        </w:rPr>
        <w:t>А.</w:t>
      </w:r>
      <w:r w:rsidR="00037FDC" w:rsidRPr="007047B1">
        <w:rPr>
          <w:rStyle w:val="af"/>
          <w:rFonts w:cs="Times New Roman"/>
          <w:b/>
          <w:bCs/>
          <w:i/>
          <w:u w:val="none"/>
        </w:rPr>
        <w:t>, Боженкова С.С.</w:t>
      </w:r>
    </w:p>
    <w:p w14:paraId="464C81F5" w14:textId="567E6F94" w:rsidR="000D0AFA" w:rsidRPr="007047B1" w:rsidRDefault="000D0AFA" w:rsidP="007047B1">
      <w:pPr>
        <w:pStyle w:val="af0"/>
        <w:spacing w:line="240" w:lineRule="auto"/>
        <w:contextualSpacing/>
        <w:rPr>
          <w:rFonts w:cs="Times New Roman"/>
          <w:i/>
          <w:iCs/>
        </w:rPr>
      </w:pPr>
      <w:r w:rsidRPr="007047B1">
        <w:rPr>
          <w:rFonts w:eastAsia="Times New Roman" w:cs="Times New Roman"/>
          <w:i/>
          <w:iCs/>
        </w:rPr>
        <w:t>Российский университет дружбы народов им. Патриса Лумумбы</w:t>
      </w:r>
      <w:r w:rsidRPr="007047B1">
        <w:rPr>
          <w:rFonts w:cs="Times New Roman"/>
          <w:i/>
          <w:iCs/>
        </w:rPr>
        <w:t>, Москва, Россия</w:t>
      </w:r>
    </w:p>
    <w:p w14:paraId="69714A69" w14:textId="2D20206C" w:rsidR="00352358" w:rsidRPr="00E24B25" w:rsidRDefault="00352358" w:rsidP="007047B1">
      <w:pPr>
        <w:contextualSpacing/>
        <w:jc w:val="center"/>
        <w:rPr>
          <w:rFonts w:eastAsia="Batang"/>
          <w:i/>
          <w:u w:val="single"/>
        </w:rPr>
      </w:pPr>
      <w:r w:rsidRPr="007047B1">
        <w:rPr>
          <w:i/>
          <w:color w:val="000000"/>
          <w:u w:val="single"/>
          <w:lang w:val="en-US"/>
        </w:rPr>
        <w:t>E</w:t>
      </w:r>
      <w:r w:rsidRPr="00E24B25">
        <w:rPr>
          <w:i/>
          <w:color w:val="000000"/>
          <w:u w:val="single"/>
        </w:rPr>
        <w:t>-</w:t>
      </w:r>
      <w:r w:rsidRPr="007047B1">
        <w:rPr>
          <w:i/>
          <w:color w:val="000000"/>
          <w:u w:val="single"/>
          <w:lang w:val="en-US"/>
        </w:rPr>
        <w:t>mail</w:t>
      </w:r>
      <w:r w:rsidRPr="00E24B25">
        <w:rPr>
          <w:i/>
          <w:color w:val="000000"/>
          <w:u w:val="single"/>
        </w:rPr>
        <w:t xml:space="preserve">: </w:t>
      </w:r>
      <w:r w:rsidR="00B2649F" w:rsidRPr="007047B1">
        <w:rPr>
          <w:rFonts w:eastAsia="Batang"/>
          <w:i/>
          <w:u w:val="single"/>
          <w:lang w:val="en-US"/>
        </w:rPr>
        <w:t>polyanskaya</w:t>
      </w:r>
      <w:r w:rsidR="00B2649F" w:rsidRPr="00E24B25">
        <w:rPr>
          <w:rFonts w:eastAsia="Batang"/>
          <w:i/>
          <w:u w:val="single"/>
        </w:rPr>
        <w:t>-</w:t>
      </w:r>
      <w:r w:rsidR="00B2649F" w:rsidRPr="007047B1">
        <w:rPr>
          <w:rFonts w:eastAsia="Batang"/>
          <w:i/>
          <w:u w:val="single"/>
          <w:lang w:val="en-US"/>
        </w:rPr>
        <w:t>na</w:t>
      </w:r>
      <w:r w:rsidR="00B2649F" w:rsidRPr="00E24B25">
        <w:rPr>
          <w:rFonts w:eastAsia="Batang"/>
          <w:i/>
          <w:u w:val="single"/>
        </w:rPr>
        <w:t>@</w:t>
      </w:r>
      <w:r w:rsidRPr="007047B1">
        <w:rPr>
          <w:rFonts w:eastAsia="Batang"/>
          <w:i/>
          <w:u w:val="single"/>
          <w:lang w:val="en-US"/>
        </w:rPr>
        <w:t>rudn</w:t>
      </w:r>
      <w:r w:rsidRPr="00E24B25">
        <w:rPr>
          <w:rFonts w:eastAsia="Batang"/>
          <w:i/>
          <w:u w:val="single"/>
        </w:rPr>
        <w:t>.</w:t>
      </w:r>
      <w:r w:rsidRPr="007047B1">
        <w:rPr>
          <w:rFonts w:eastAsia="Batang"/>
          <w:i/>
          <w:u w:val="single"/>
          <w:lang w:val="en-US"/>
        </w:rPr>
        <w:t>ru</w:t>
      </w:r>
    </w:p>
    <w:p w14:paraId="6CDA9CED" w14:textId="77FCB734" w:rsidR="00352358" w:rsidRPr="001C5B86" w:rsidRDefault="00352358" w:rsidP="007047B1">
      <w:pPr>
        <w:ind w:firstLine="426"/>
        <w:contextualSpacing/>
        <w:jc w:val="both"/>
        <w:rPr>
          <w:lang w:val="en-US" w:eastAsia="zh-CN"/>
        </w:rPr>
      </w:pPr>
      <w:r w:rsidRPr="007047B1">
        <w:rPr>
          <w:rFonts w:eastAsia="SimSun"/>
          <w:lang w:eastAsia="zh-CN" w:bidi="ar"/>
        </w:rPr>
        <w:t>В последнее время комплексы на основе гетероциклических азо-, гидразо-соединений вызывают практический интерес в качестве красителей для синтетических волокон, цветной печати, а также носителей для записи и хранения информации, они потенциально могут обладать каталитической или биологической активностью, в зависимости от строения гетероциклической и ароматической составляющих и используемых ионов металлов</w:t>
      </w:r>
      <w:r w:rsidR="00B2649F" w:rsidRPr="007047B1">
        <w:rPr>
          <w:rFonts w:eastAsia="SimSun"/>
          <w:lang w:eastAsia="zh-CN" w:bidi="ar"/>
        </w:rPr>
        <w:t xml:space="preserve"> [1,2]</w:t>
      </w:r>
      <w:r w:rsidRPr="007047B1">
        <w:rPr>
          <w:rFonts w:eastAsia="SimSun"/>
          <w:lang w:eastAsia="zh-CN" w:bidi="ar"/>
        </w:rPr>
        <w:t xml:space="preserve">. </w:t>
      </w:r>
    </w:p>
    <w:p w14:paraId="4B9B3377" w14:textId="38E55830" w:rsidR="00AA6549" w:rsidRPr="007047B1" w:rsidRDefault="00352358" w:rsidP="00E24B25">
      <w:pPr>
        <w:ind w:firstLine="397"/>
        <w:contextualSpacing/>
        <w:jc w:val="both"/>
        <w:rPr>
          <w:rFonts w:eastAsia="SimSun"/>
          <w:lang w:eastAsia="zh-CN" w:bidi="ar"/>
        </w:rPr>
      </w:pPr>
      <w:r w:rsidRPr="007047B1">
        <w:rPr>
          <w:rFonts w:eastAsia="SimSun"/>
          <w:lang w:eastAsia="zh-CN" w:bidi="ar"/>
        </w:rPr>
        <w:t xml:space="preserve">Полученные металлокомплексы </w:t>
      </w:r>
      <w:r w:rsidRPr="007047B1">
        <w:rPr>
          <w:rFonts w:eastAsia="SimSun"/>
          <w:lang w:eastAsia="zh-CN"/>
        </w:rPr>
        <w:t>I</w:t>
      </w:r>
      <w:r w:rsidRPr="007047B1">
        <w:rPr>
          <w:rFonts w:eastAsia="SimSun"/>
          <w:lang w:eastAsia="zh-CN" w:bidi="ar"/>
        </w:rPr>
        <w:t xml:space="preserve"> с </w:t>
      </w:r>
      <w:r w:rsidRPr="007047B1">
        <w:rPr>
          <w:rFonts w:eastAsia="SimSun"/>
          <w:lang w:val="en-US" w:eastAsia="zh-CN" w:bidi="ar"/>
        </w:rPr>
        <w:t>Cu</w:t>
      </w:r>
      <w:r w:rsidRPr="007047B1">
        <w:rPr>
          <w:rFonts w:eastAsia="SimSun"/>
          <w:vertAlign w:val="superscript"/>
          <w:lang w:eastAsia="zh-CN" w:bidi="ar"/>
        </w:rPr>
        <w:t>2+</w:t>
      </w:r>
      <w:r w:rsidR="00655FB1" w:rsidRPr="007047B1">
        <w:rPr>
          <w:rFonts w:eastAsia="SimSun"/>
          <w:lang w:eastAsia="zh-CN" w:bidi="ar"/>
        </w:rPr>
        <w:t xml:space="preserve"> (</w:t>
      </w:r>
      <w:r w:rsidR="00655FB1" w:rsidRPr="007047B1">
        <w:rPr>
          <w:rFonts w:eastAsia="SimSun"/>
          <w:lang w:val="en-US" w:eastAsia="zh-CN" w:bidi="ar"/>
        </w:rPr>
        <w:t>II</w:t>
      </w:r>
      <w:r w:rsidR="00655FB1" w:rsidRPr="007047B1">
        <w:rPr>
          <w:rFonts w:eastAsia="SimSun"/>
          <w:lang w:eastAsia="zh-CN" w:bidi="ar"/>
        </w:rPr>
        <w:t>)</w:t>
      </w:r>
      <w:r w:rsidRPr="007047B1">
        <w:rPr>
          <w:rFonts w:eastAsia="SimSun"/>
          <w:lang w:eastAsia="zh-CN" w:bidi="ar"/>
        </w:rPr>
        <w:t xml:space="preserve">, </w:t>
      </w:r>
      <w:r w:rsidRPr="007047B1">
        <w:rPr>
          <w:rFonts w:eastAsia="SimSun"/>
          <w:lang w:val="en-US" w:eastAsia="zh-CN" w:bidi="ar"/>
        </w:rPr>
        <w:t>Zn</w:t>
      </w:r>
      <w:r w:rsidRPr="007047B1">
        <w:rPr>
          <w:rFonts w:eastAsia="SimSun"/>
          <w:vertAlign w:val="superscript"/>
          <w:lang w:eastAsia="zh-CN" w:bidi="ar"/>
        </w:rPr>
        <w:t>2+</w:t>
      </w:r>
      <w:r w:rsidR="00655FB1" w:rsidRPr="007047B1">
        <w:rPr>
          <w:rFonts w:eastAsia="SimSun"/>
          <w:lang w:eastAsia="zh-CN" w:bidi="ar"/>
        </w:rPr>
        <w:t xml:space="preserve"> (</w:t>
      </w:r>
      <w:r w:rsidR="00655FB1" w:rsidRPr="007047B1">
        <w:rPr>
          <w:rFonts w:eastAsia="SimSun"/>
          <w:lang w:val="en-US" w:eastAsia="zh-CN" w:bidi="ar"/>
        </w:rPr>
        <w:t>III</w:t>
      </w:r>
      <w:r w:rsidR="00655FB1" w:rsidRPr="007047B1">
        <w:rPr>
          <w:rFonts w:eastAsia="SimSun"/>
          <w:lang w:eastAsia="zh-CN" w:bidi="ar"/>
        </w:rPr>
        <w:t>)</w:t>
      </w:r>
      <w:r w:rsidRPr="007047B1">
        <w:rPr>
          <w:rFonts w:eastAsia="SimSun"/>
          <w:lang w:eastAsia="zh-CN" w:bidi="ar"/>
        </w:rPr>
        <w:t xml:space="preserve">, </w:t>
      </w:r>
      <w:r w:rsidRPr="007047B1">
        <w:rPr>
          <w:rFonts w:eastAsia="SimSun"/>
          <w:lang w:val="en-US" w:eastAsia="zh-CN" w:bidi="ar"/>
        </w:rPr>
        <w:t>Cd</w:t>
      </w:r>
      <w:r w:rsidRPr="007047B1">
        <w:rPr>
          <w:rFonts w:eastAsia="SimSun"/>
          <w:vertAlign w:val="superscript"/>
          <w:lang w:eastAsia="zh-CN" w:bidi="ar"/>
        </w:rPr>
        <w:t>2+</w:t>
      </w:r>
      <w:r w:rsidR="00655FB1" w:rsidRPr="007047B1">
        <w:rPr>
          <w:rFonts w:eastAsia="SimSun"/>
          <w:lang w:eastAsia="zh-CN" w:bidi="ar"/>
        </w:rPr>
        <w:t xml:space="preserve"> (</w:t>
      </w:r>
      <w:r w:rsidR="00655FB1" w:rsidRPr="007047B1">
        <w:rPr>
          <w:rFonts w:eastAsia="SimSun"/>
          <w:lang w:val="en-US" w:eastAsia="zh-CN" w:bidi="ar"/>
        </w:rPr>
        <w:t>IV</w:t>
      </w:r>
      <w:r w:rsidR="00655FB1" w:rsidRPr="007047B1">
        <w:rPr>
          <w:rFonts w:eastAsia="SimSun"/>
          <w:lang w:eastAsia="zh-CN" w:bidi="ar"/>
        </w:rPr>
        <w:t>)</w:t>
      </w:r>
      <w:r w:rsidRPr="007047B1">
        <w:rPr>
          <w:rFonts w:eastAsia="SimSun"/>
          <w:lang w:eastAsia="zh-CN" w:bidi="ar"/>
        </w:rPr>
        <w:t xml:space="preserve">, </w:t>
      </w:r>
      <w:r w:rsidRPr="007047B1">
        <w:rPr>
          <w:rFonts w:eastAsia="SimSun"/>
          <w:lang w:val="en-US" w:eastAsia="zh-CN" w:bidi="ar"/>
        </w:rPr>
        <w:t>Ni</w:t>
      </w:r>
      <w:r w:rsidRPr="007047B1">
        <w:rPr>
          <w:rFonts w:eastAsia="SimSun"/>
          <w:vertAlign w:val="superscript"/>
          <w:lang w:eastAsia="zh-CN" w:bidi="ar"/>
        </w:rPr>
        <w:t>2+</w:t>
      </w:r>
      <w:r w:rsidR="00655FB1" w:rsidRPr="007047B1">
        <w:rPr>
          <w:rFonts w:eastAsia="SimSun"/>
          <w:lang w:eastAsia="zh-CN" w:bidi="ar"/>
        </w:rPr>
        <w:t>(</w:t>
      </w:r>
      <w:r w:rsidR="00655FB1" w:rsidRPr="007047B1">
        <w:rPr>
          <w:rFonts w:eastAsia="SimSun"/>
          <w:lang w:val="en-US" w:eastAsia="zh-CN" w:bidi="ar"/>
        </w:rPr>
        <w:t>V</w:t>
      </w:r>
      <w:r w:rsidR="00655FB1" w:rsidRPr="007047B1">
        <w:rPr>
          <w:rFonts w:eastAsia="SimSun"/>
          <w:lang w:eastAsia="zh-CN" w:bidi="ar"/>
        </w:rPr>
        <w:t>)</w:t>
      </w:r>
      <w:r w:rsidRPr="007047B1">
        <w:rPr>
          <w:rFonts w:eastAsia="SimSun"/>
          <w:lang w:eastAsia="zh-CN" w:bidi="ar"/>
        </w:rPr>
        <w:t xml:space="preserve">, </w:t>
      </w:r>
      <w:r w:rsidRPr="007047B1">
        <w:rPr>
          <w:rFonts w:eastAsia="SimSun"/>
          <w:lang w:val="en-US" w:eastAsia="zh-CN" w:bidi="ar"/>
        </w:rPr>
        <w:t>Co</w:t>
      </w:r>
      <w:r w:rsidRPr="007047B1">
        <w:rPr>
          <w:rFonts w:eastAsia="SimSun"/>
          <w:vertAlign w:val="superscript"/>
          <w:lang w:eastAsia="zh-CN" w:bidi="ar"/>
        </w:rPr>
        <w:t>2+</w:t>
      </w:r>
      <w:r w:rsidRPr="007047B1">
        <w:rPr>
          <w:rFonts w:eastAsia="SimSun"/>
          <w:lang w:eastAsia="zh-CN" w:bidi="ar"/>
        </w:rPr>
        <w:t xml:space="preserve"> </w:t>
      </w:r>
      <w:r w:rsidR="00655FB1" w:rsidRPr="007047B1">
        <w:rPr>
          <w:rFonts w:eastAsia="SimSun"/>
          <w:lang w:eastAsia="zh-CN" w:bidi="ar"/>
        </w:rPr>
        <w:t>(</w:t>
      </w:r>
      <w:r w:rsidR="00655FB1" w:rsidRPr="007047B1">
        <w:rPr>
          <w:lang w:val="en-US"/>
        </w:rPr>
        <w:t>VI</w:t>
      </w:r>
      <w:r w:rsidR="00655FB1" w:rsidRPr="007047B1">
        <w:rPr>
          <w:rFonts w:eastAsia="SimSun"/>
          <w:lang w:eastAsia="zh-CN" w:bidi="ar"/>
        </w:rPr>
        <w:t xml:space="preserve">) </w:t>
      </w:r>
      <w:r w:rsidRPr="007047B1">
        <w:rPr>
          <w:rFonts w:eastAsia="SimSun"/>
          <w:lang w:eastAsia="zh-CN" w:bidi="ar"/>
        </w:rPr>
        <w:t xml:space="preserve">были изучены физико-химическими методами анализа (элементный анализ, ИК, ЭСП). </w:t>
      </w:r>
      <w:r w:rsidR="00A449E6" w:rsidRPr="007047B1">
        <w:rPr>
          <w:rFonts w:eastAsia="SimSun"/>
          <w:lang w:eastAsia="zh-CN" w:bidi="ar"/>
        </w:rPr>
        <w:t>Данные э</w:t>
      </w:r>
      <w:r w:rsidRPr="007047B1">
        <w:rPr>
          <w:rFonts w:eastAsia="SimSun"/>
          <w:lang w:eastAsia="zh-CN" w:bidi="ar"/>
        </w:rPr>
        <w:t>лементн</w:t>
      </w:r>
      <w:r w:rsidR="00A449E6" w:rsidRPr="007047B1">
        <w:rPr>
          <w:rFonts w:eastAsia="SimSun"/>
          <w:lang w:eastAsia="zh-CN" w:bidi="ar"/>
        </w:rPr>
        <w:t>ого</w:t>
      </w:r>
      <w:r w:rsidRPr="007047B1">
        <w:rPr>
          <w:rFonts w:eastAsia="SimSun"/>
          <w:lang w:eastAsia="zh-CN" w:bidi="ar"/>
        </w:rPr>
        <w:t xml:space="preserve"> анализ</w:t>
      </w:r>
      <w:r w:rsidR="00A449E6" w:rsidRPr="007047B1">
        <w:rPr>
          <w:rFonts w:eastAsia="SimSun"/>
          <w:lang w:eastAsia="zh-CN" w:bidi="ar"/>
        </w:rPr>
        <w:t>ы</w:t>
      </w:r>
      <w:r w:rsidR="00AA6549" w:rsidRPr="007047B1">
        <w:rPr>
          <w:rFonts w:eastAsia="SimSun"/>
          <w:lang w:eastAsia="zh-CN" w:bidi="ar"/>
        </w:rPr>
        <w:t>,</w:t>
      </w:r>
      <w:r w:rsidRPr="007047B1">
        <w:rPr>
          <w:rFonts w:eastAsia="SimSun"/>
          <w:lang w:eastAsia="zh-CN" w:bidi="ar"/>
        </w:rPr>
        <w:t xml:space="preserve"> </w:t>
      </w:r>
      <w:r w:rsidR="00AA6549" w:rsidRPr="007047B1">
        <w:rPr>
          <w:rFonts w:eastAsia="SimSun"/>
          <w:lang w:eastAsia="zh-CN" w:bidi="ar"/>
        </w:rPr>
        <w:t xml:space="preserve">ЭСП </w:t>
      </w:r>
      <w:r w:rsidRPr="007047B1">
        <w:rPr>
          <w:rFonts w:eastAsia="SimSun"/>
          <w:lang w:eastAsia="zh-CN" w:bidi="ar"/>
        </w:rPr>
        <w:t xml:space="preserve">и </w:t>
      </w:r>
      <w:r w:rsidR="00AA6549" w:rsidRPr="007047B1">
        <w:rPr>
          <w:rFonts w:eastAsia="SimSun"/>
          <w:lang w:eastAsia="zh-CN" w:bidi="ar"/>
        </w:rPr>
        <w:t>кривы</w:t>
      </w:r>
      <w:r w:rsidR="00A449E6" w:rsidRPr="007047B1">
        <w:rPr>
          <w:rFonts w:eastAsia="SimSun"/>
          <w:lang w:eastAsia="zh-CN" w:bidi="ar"/>
        </w:rPr>
        <w:t>е</w:t>
      </w:r>
      <w:r w:rsidR="00AA6549" w:rsidRPr="007047B1">
        <w:rPr>
          <w:rFonts w:eastAsia="SimSun"/>
          <w:lang w:eastAsia="zh-CN" w:bidi="ar"/>
        </w:rPr>
        <w:t xml:space="preserve"> насыщения</w:t>
      </w:r>
      <w:r w:rsidR="00A449E6" w:rsidRPr="007047B1">
        <w:rPr>
          <w:rFonts w:eastAsia="SimSun"/>
          <w:lang w:eastAsia="zh-CN" w:bidi="ar"/>
        </w:rPr>
        <w:t>,</w:t>
      </w:r>
      <w:r w:rsidR="00AA6549" w:rsidRPr="007047B1">
        <w:rPr>
          <w:rFonts w:eastAsia="SimSun"/>
          <w:lang w:eastAsia="zh-CN" w:bidi="ar"/>
        </w:rPr>
        <w:t xml:space="preserve"> полученны</w:t>
      </w:r>
      <w:r w:rsidR="00A449E6" w:rsidRPr="007047B1">
        <w:rPr>
          <w:rFonts w:eastAsia="SimSun"/>
          <w:lang w:eastAsia="zh-CN" w:bidi="ar"/>
        </w:rPr>
        <w:t>е</w:t>
      </w:r>
      <w:r w:rsidR="00AA6549" w:rsidRPr="007047B1">
        <w:rPr>
          <w:rFonts w:eastAsia="SimSun"/>
          <w:lang w:eastAsia="zh-CN" w:bidi="ar"/>
        </w:rPr>
        <w:t xml:space="preserve"> при титровании</w:t>
      </w:r>
      <w:r w:rsidRPr="007047B1">
        <w:rPr>
          <w:rFonts w:eastAsia="SimSun"/>
          <w:lang w:eastAsia="zh-CN" w:bidi="ar"/>
        </w:rPr>
        <w:t xml:space="preserve"> соединени</w:t>
      </w:r>
      <w:r w:rsidR="00AA6549" w:rsidRPr="007047B1">
        <w:rPr>
          <w:rFonts w:eastAsia="SimSun"/>
          <w:lang w:eastAsia="zh-CN" w:bidi="ar"/>
        </w:rPr>
        <w:t xml:space="preserve">я </w:t>
      </w:r>
      <w:r w:rsidR="00AA6549" w:rsidRPr="007047B1">
        <w:rPr>
          <w:rFonts w:eastAsia="SimSun"/>
          <w:lang w:val="en-US" w:eastAsia="zh-CN" w:bidi="ar"/>
        </w:rPr>
        <w:t>I</w:t>
      </w:r>
      <w:r w:rsidR="00AA6549" w:rsidRPr="007047B1">
        <w:rPr>
          <w:rFonts w:eastAsia="SimSun"/>
          <w:lang w:eastAsia="zh-CN" w:bidi="ar"/>
        </w:rPr>
        <w:t xml:space="preserve"> солями указанных металлов</w:t>
      </w:r>
      <w:r w:rsidRPr="007047B1">
        <w:rPr>
          <w:rFonts w:eastAsia="SimSun"/>
          <w:lang w:eastAsia="zh-CN" w:bidi="ar"/>
        </w:rPr>
        <w:t xml:space="preserve">, </w:t>
      </w:r>
      <w:r w:rsidR="00A449E6" w:rsidRPr="007047B1">
        <w:rPr>
          <w:rFonts w:eastAsia="SimSun"/>
          <w:lang w:eastAsia="zh-CN" w:bidi="ar"/>
        </w:rPr>
        <w:t xml:space="preserve">показали, что соотношение металл:лиганд в комплексах в кристаллическом состоянии и растворе – 1:2 </w:t>
      </w:r>
      <w:r w:rsidR="00AA6549" w:rsidRPr="007047B1">
        <w:rPr>
          <w:rFonts w:eastAsia="SimSun"/>
          <w:lang w:eastAsia="zh-CN" w:bidi="ar"/>
        </w:rPr>
        <w:t>(табл. 1)</w:t>
      </w:r>
      <w:r w:rsidRPr="007047B1">
        <w:rPr>
          <w:rFonts w:eastAsia="SimSun"/>
          <w:lang w:eastAsia="zh-CN" w:bidi="ar"/>
        </w:rPr>
        <w:t>. Согласно ИК-спектрам</w:t>
      </w:r>
      <w:r w:rsidR="00A449E6" w:rsidRPr="007047B1">
        <w:rPr>
          <w:rFonts w:eastAsia="SimSun"/>
          <w:lang w:eastAsia="zh-CN" w:bidi="ar"/>
        </w:rPr>
        <w:t xml:space="preserve"> в комплексах</w:t>
      </w:r>
      <w:r w:rsidRPr="007047B1">
        <w:rPr>
          <w:rFonts w:eastAsia="SimSun"/>
          <w:lang w:eastAsia="zh-CN" w:bidi="ar"/>
        </w:rPr>
        <w:t xml:space="preserve"> в области 16</w:t>
      </w:r>
      <w:r w:rsidR="00AA6549" w:rsidRPr="007047B1">
        <w:rPr>
          <w:rFonts w:eastAsia="SimSun"/>
          <w:lang w:eastAsia="zh-CN" w:bidi="ar"/>
        </w:rPr>
        <w:t>72</w:t>
      </w:r>
      <w:r w:rsidRPr="007047B1">
        <w:rPr>
          <w:rFonts w:eastAsia="SimSun"/>
          <w:lang w:eastAsia="zh-CN" w:bidi="ar"/>
        </w:rPr>
        <w:t xml:space="preserve"> см</w:t>
      </w:r>
      <w:r w:rsidRPr="007047B1">
        <w:rPr>
          <w:rFonts w:eastAsia="SimSun"/>
          <w:vertAlign w:val="superscript"/>
          <w:lang w:eastAsia="zh-CN" w:bidi="ar"/>
        </w:rPr>
        <w:t>-1</w:t>
      </w:r>
      <w:r w:rsidRPr="007047B1">
        <w:rPr>
          <w:rFonts w:eastAsia="SimSun"/>
          <w:lang w:eastAsia="zh-CN" w:bidi="ar"/>
        </w:rPr>
        <w:t xml:space="preserve"> отсутствует полоса, характерная для валентных колебаний ν(С=О), что свидетельствует об образовании связи между атомом кислорода и атомом металла. В области 1</w:t>
      </w:r>
      <w:r w:rsidR="00AA6549" w:rsidRPr="007047B1">
        <w:rPr>
          <w:rFonts w:eastAsia="SimSun"/>
          <w:lang w:eastAsia="zh-CN" w:bidi="ar"/>
        </w:rPr>
        <w:t>597</w:t>
      </w:r>
      <w:r w:rsidRPr="007047B1">
        <w:rPr>
          <w:rFonts w:eastAsia="SimSun"/>
          <w:lang w:eastAsia="zh-CN" w:bidi="ar"/>
        </w:rPr>
        <w:t>-14</w:t>
      </w:r>
      <w:r w:rsidR="00AA6549" w:rsidRPr="007047B1">
        <w:rPr>
          <w:rFonts w:eastAsia="SimSun"/>
          <w:lang w:eastAsia="zh-CN" w:bidi="ar"/>
        </w:rPr>
        <w:t>89</w:t>
      </w:r>
      <w:r w:rsidRPr="007047B1">
        <w:rPr>
          <w:rFonts w:eastAsia="SimSun"/>
          <w:lang w:eastAsia="zh-CN" w:bidi="ar"/>
        </w:rPr>
        <w:t xml:space="preserve"> см</w:t>
      </w:r>
      <w:r w:rsidRPr="007047B1">
        <w:rPr>
          <w:rFonts w:eastAsia="SimSun"/>
          <w:vertAlign w:val="superscript"/>
          <w:lang w:eastAsia="zh-CN" w:bidi="ar"/>
        </w:rPr>
        <w:t>-1</w:t>
      </w:r>
      <w:r w:rsidRPr="007047B1">
        <w:rPr>
          <w:rFonts w:eastAsia="SimSun"/>
          <w:lang w:eastAsia="zh-CN" w:bidi="ar"/>
        </w:rPr>
        <w:t xml:space="preserve"> наблюдается небольшое низкочастотное смещение полос поглощения ν(С=О+С=N+C=C) с одновременным перераспределением относительной интенсивности.</w:t>
      </w:r>
    </w:p>
    <w:p w14:paraId="0C409660" w14:textId="436861FE" w:rsidR="00352358" w:rsidRPr="007047B1" w:rsidRDefault="003E6655" w:rsidP="00E24B25">
      <w:pPr>
        <w:contextualSpacing/>
        <w:rPr>
          <w:rFonts w:eastAsia="SimSun"/>
          <w:lang w:eastAsia="zh-CN" w:bidi="ar"/>
        </w:rPr>
      </w:pPr>
      <w:r w:rsidRPr="007047B1">
        <w:rPr>
          <w:rFonts w:eastAsia="SimSun"/>
          <w:lang w:eastAsia="zh-CN" w:bidi="ar"/>
        </w:rPr>
        <w:t xml:space="preserve">Таблица №1. </w:t>
      </w:r>
      <w:r w:rsidR="00A449E6" w:rsidRPr="007047B1">
        <w:rPr>
          <w:rFonts w:eastAsia="SimSun"/>
          <w:lang w:eastAsia="zh-CN" w:bidi="ar"/>
        </w:rPr>
        <w:t>Данные элементного анализа и ЭСП</w:t>
      </w:r>
      <w:r w:rsidRPr="007047B1">
        <w:rPr>
          <w:rFonts w:eastAsia="SimSun"/>
          <w:lang w:eastAsia="zh-CN" w:bidi="ar"/>
        </w:rPr>
        <w:t xml:space="preserve"> соединений </w:t>
      </w:r>
      <w:r w:rsidRPr="007047B1">
        <w:rPr>
          <w:rFonts w:eastAsia="SimSun"/>
          <w:lang w:val="en-US" w:eastAsia="zh-CN" w:bidi="ar"/>
        </w:rPr>
        <w:t>I</w:t>
      </w:r>
      <w:r w:rsidRPr="007047B1">
        <w:rPr>
          <w:rFonts w:eastAsia="SimSun"/>
          <w:lang w:eastAsia="zh-CN" w:bidi="ar"/>
        </w:rPr>
        <w:t>-</w:t>
      </w:r>
      <w:r w:rsidRPr="007047B1">
        <w:rPr>
          <w:rFonts w:eastAsia="SimSun"/>
          <w:lang w:val="en-US" w:eastAsia="zh-CN" w:bidi="ar"/>
        </w:rPr>
        <w:t>VI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993"/>
        <w:gridCol w:w="850"/>
        <w:gridCol w:w="1134"/>
        <w:gridCol w:w="1134"/>
        <w:gridCol w:w="1134"/>
        <w:gridCol w:w="1134"/>
        <w:gridCol w:w="992"/>
        <w:gridCol w:w="1276"/>
      </w:tblGrid>
      <w:tr w:rsidR="00AA6549" w:rsidRPr="007047B1" w14:paraId="3F5B55B8" w14:textId="77777777" w:rsidTr="00E24B25">
        <w:trPr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BDFF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bookmarkStart w:id="0" w:name="_Hlk223274719"/>
            <w:r w:rsidRPr="007047B1">
              <w:t>№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17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Содержание элементов %,</w:t>
            </w:r>
          </w:p>
          <w:p w14:paraId="0D0EB17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найдено</w:t>
            </w:r>
            <w:r w:rsidRPr="007047B1">
              <w:rPr>
                <w:lang w:val="en-US"/>
              </w:rPr>
              <w:t xml:space="preserve"> (</w:t>
            </w:r>
            <w:r w:rsidRPr="007047B1">
              <w:t>вычислено</w:t>
            </w:r>
            <w:r w:rsidRPr="007047B1">
              <w:rPr>
                <w:lang w:val="en-US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10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Титрование</w:t>
            </w:r>
          </w:p>
          <w:p w14:paraId="5EF62D9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солями</w:t>
            </w:r>
          </w:p>
          <w:p w14:paraId="2540BB3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металлов</w:t>
            </w:r>
          </w:p>
        </w:tc>
      </w:tr>
      <w:tr w:rsidR="00AA6549" w:rsidRPr="007047B1" w14:paraId="5CE83103" w14:textId="77777777" w:rsidTr="00E24B25">
        <w:trPr>
          <w:trHeight w:val="5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FC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33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DB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B1E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56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2A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7B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M</w:t>
            </w:r>
            <w:r w:rsidRPr="007047B1">
              <w:rPr>
                <w:vertAlign w:val="superscript"/>
                <w:lang w:val="en-US"/>
              </w:rPr>
              <w:t>n+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AE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 xml:space="preserve">λ, </w:t>
            </w:r>
            <w:r w:rsidRPr="007047B1">
              <w:t>нм</w:t>
            </w:r>
          </w:p>
          <w:p w14:paraId="708A271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(lgε)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05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vertAlign w:val="superscript"/>
                <w:lang w:val="en-US"/>
              </w:rPr>
            </w:pPr>
            <w:r w:rsidRPr="007047B1">
              <w:rPr>
                <w:lang w:val="en-US"/>
              </w:rPr>
              <w:t>lg β</w:t>
            </w:r>
          </w:p>
        </w:tc>
      </w:tr>
      <w:tr w:rsidR="00AA6549" w:rsidRPr="007047B1" w14:paraId="55F5CE30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6F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7B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 xml:space="preserve">71,41 </w:t>
            </w:r>
            <w:r w:rsidRPr="007047B1">
              <w:rPr>
                <w:lang w:val="en-US"/>
              </w:rPr>
              <w:t>(72,42)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08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3,97</w:t>
            </w:r>
            <w:r w:rsidRPr="007047B1">
              <w:rPr>
                <w:lang w:val="en-US"/>
              </w:rPr>
              <w:t xml:space="preserve"> (3,96)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9E5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6,64</w:t>
            </w:r>
          </w:p>
          <w:p w14:paraId="49F2F7E1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</w:t>
            </w:r>
            <w:r w:rsidRPr="007047B1">
              <w:t>6</w:t>
            </w:r>
            <w:r w:rsidRPr="007047B1">
              <w:rPr>
                <w:lang w:val="en-US"/>
              </w:rPr>
              <w:t>,19)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3F0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9,92</w:t>
            </w:r>
            <w:r w:rsidRPr="007047B1">
              <w:rPr>
                <w:color w:val="FF0000"/>
                <w:lang w:val="en-US"/>
              </w:rPr>
              <w:t xml:space="preserve"> </w:t>
            </w:r>
            <w:r w:rsidRPr="007047B1">
              <w:rPr>
                <w:lang w:val="en-US"/>
              </w:rPr>
              <w:t>(</w:t>
            </w:r>
            <w:r w:rsidRPr="007047B1">
              <w:t>10</w:t>
            </w:r>
            <w:r w:rsidRPr="007047B1">
              <w:rPr>
                <w:lang w:val="en-US"/>
              </w:rPr>
              <w:t>,01)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52D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8,06</w:t>
            </w:r>
            <w:r w:rsidRPr="007047B1">
              <w:rPr>
                <w:lang w:val="en-US"/>
              </w:rPr>
              <w:t xml:space="preserve"> (8,40)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2D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746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801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-</w:t>
            </w:r>
          </w:p>
        </w:tc>
      </w:tr>
      <w:tr w:rsidR="00AA6549" w:rsidRPr="007047B1" w14:paraId="69A30D38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24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933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 xml:space="preserve"> </w:t>
            </w:r>
            <w:r w:rsidRPr="007047B1">
              <w:rPr>
                <w:lang w:val="en-US"/>
              </w:rPr>
              <w:t>66</w:t>
            </w:r>
            <w:r w:rsidRPr="007047B1">
              <w:t>,90</w:t>
            </w:r>
          </w:p>
          <w:p w14:paraId="24552CA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(67,01)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A7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3,80</w:t>
            </w:r>
          </w:p>
          <w:p w14:paraId="28070D8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(3,42)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A43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4,01</w:t>
            </w:r>
          </w:p>
          <w:p w14:paraId="27C5391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(3,88)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F5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10,25</w:t>
            </w:r>
          </w:p>
          <w:p w14:paraId="47B82EB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(10,19)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26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7,85</w:t>
            </w:r>
          </w:p>
          <w:p w14:paraId="2062DBA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(7,77)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171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 xml:space="preserve"> </w:t>
            </w:r>
            <w:r w:rsidRPr="007047B1">
              <w:t>8,01</w:t>
            </w:r>
          </w:p>
          <w:p w14:paraId="582FB88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(7,70)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9D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504</w:t>
            </w:r>
          </w:p>
          <w:p w14:paraId="23E86BB1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(5,29)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15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8,03</w:t>
            </w:r>
          </w:p>
        </w:tc>
      </w:tr>
      <w:tr w:rsidR="00AA6549" w:rsidRPr="007047B1" w14:paraId="7CC65FE4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3A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23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67,02</w:t>
            </w:r>
          </w:p>
          <w:p w14:paraId="4888D49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>(66,86)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54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3,62</w:t>
            </w:r>
          </w:p>
          <w:p w14:paraId="40EA9FF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(3,41)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968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3,90</w:t>
            </w:r>
          </w:p>
          <w:p w14:paraId="3226A40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(3,87)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C2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10,30</w:t>
            </w:r>
          </w:p>
          <w:p w14:paraId="56297348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(10,17)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873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7,80</w:t>
            </w:r>
          </w:p>
          <w:p w14:paraId="020BCEB6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(7,76)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1CF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8,11</w:t>
            </w:r>
          </w:p>
          <w:p w14:paraId="69E8E3B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(7,91)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7A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540</w:t>
            </w:r>
          </w:p>
          <w:p w14:paraId="099059D1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(5,39)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2F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7,88</w:t>
            </w:r>
          </w:p>
        </w:tc>
      </w:tr>
      <w:tr w:rsidR="00AA6549" w:rsidRPr="007047B1" w14:paraId="5614E816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9F9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I</w:t>
            </w:r>
            <w:r w:rsidRPr="007047B1">
              <w:rPr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C6C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64,01</w:t>
            </w:r>
            <w:r w:rsidRPr="007047B1">
              <w:rPr>
                <w:color w:val="FF0000"/>
                <w:lang w:val="en-US"/>
              </w:rPr>
              <w:t xml:space="preserve"> </w:t>
            </w:r>
            <w:r w:rsidRPr="007047B1">
              <w:rPr>
                <w:lang w:val="en-US"/>
              </w:rPr>
              <w:t>(63,26)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0F2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3,60</w:t>
            </w:r>
          </w:p>
          <w:p w14:paraId="2D1EBB7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(3</w:t>
            </w:r>
            <w:r w:rsidRPr="007047B1">
              <w:rPr>
                <w:lang w:val="en-US"/>
              </w:rPr>
              <w:t>,23)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9F1F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 xml:space="preserve">3,89 </w:t>
            </w:r>
            <w:r w:rsidRPr="007047B1">
              <w:rPr>
                <w:lang w:val="en-US"/>
              </w:rPr>
              <w:t>(3,66)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86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 xml:space="preserve">10,36 </w:t>
            </w:r>
            <w:r w:rsidRPr="007047B1">
              <w:rPr>
                <w:lang w:val="en-US"/>
              </w:rPr>
              <w:t>(9,62)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D7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7,38</w:t>
            </w:r>
            <w:r w:rsidRPr="007047B1">
              <w:rPr>
                <w:lang w:val="en-US"/>
              </w:rPr>
              <w:t xml:space="preserve"> (7,34)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4CA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12,56</w:t>
            </w:r>
            <w:r w:rsidRPr="007047B1">
              <w:rPr>
                <w:lang w:val="en-US"/>
              </w:rPr>
              <w:t xml:space="preserve"> (12,87)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27CE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536</w:t>
            </w:r>
          </w:p>
          <w:p w14:paraId="506DEF10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(5,51)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1D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7,82</w:t>
            </w:r>
          </w:p>
        </w:tc>
      </w:tr>
      <w:tr w:rsidR="00AA6549" w:rsidRPr="007047B1" w14:paraId="19B046CC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74CC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820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66</w:t>
            </w:r>
            <w:r w:rsidRPr="007047B1">
              <w:rPr>
                <w:lang w:val="en-US"/>
              </w:rPr>
              <w:t>,67 (67,41)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B91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3,85</w:t>
            </w:r>
          </w:p>
          <w:p w14:paraId="674E33A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>(3,44)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79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</w:t>
            </w:r>
            <w:r w:rsidRPr="007047B1">
              <w:rPr>
                <w:lang w:val="en-US"/>
              </w:rPr>
              <w:t>,65 (3,90)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7FC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>1</w:t>
            </w:r>
            <w:r w:rsidRPr="007047B1">
              <w:t>0</w:t>
            </w:r>
            <w:r w:rsidRPr="007047B1">
              <w:rPr>
                <w:lang w:val="en-US"/>
              </w:rPr>
              <w:t>,04 (10,25)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701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rPr>
                <w:lang w:val="en-US"/>
              </w:rPr>
              <w:t>7,38 (7,82)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DA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</w:t>
            </w:r>
            <w:r w:rsidRPr="007047B1">
              <w:rPr>
                <w:lang w:val="en-US"/>
              </w:rPr>
              <w:t>,29 (7,16)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615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542</w:t>
            </w:r>
          </w:p>
          <w:p w14:paraId="732B145D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(5,38)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19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7,75</w:t>
            </w:r>
          </w:p>
        </w:tc>
      </w:tr>
      <w:tr w:rsidR="00AA6549" w:rsidRPr="007047B1" w14:paraId="5D4FDBDF" w14:textId="77777777" w:rsidTr="00E24B2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AE4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V</w:t>
            </w:r>
            <w:r w:rsidRPr="007047B1"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FA4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color w:val="FF0000"/>
                <w:lang w:val="en-US"/>
              </w:rPr>
              <w:t xml:space="preserve"> </w:t>
            </w:r>
            <w:r w:rsidRPr="007047B1">
              <w:t xml:space="preserve">52,45 </w:t>
            </w:r>
            <w:r w:rsidRPr="007047B1">
              <w:rPr>
                <w:lang w:val="en-US"/>
              </w:rPr>
              <w:t>(</w:t>
            </w:r>
            <w:r w:rsidRPr="007047B1">
              <w:t>52</w:t>
            </w:r>
            <w:r w:rsidRPr="007047B1">
              <w:rPr>
                <w:lang w:val="en-US"/>
              </w:rPr>
              <w:t>,39)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5C9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3,92</w:t>
            </w:r>
          </w:p>
          <w:p w14:paraId="2265E9E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>(3,44)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A6C7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 xml:space="preserve"> 4,35 </w:t>
            </w:r>
            <w:r w:rsidRPr="007047B1">
              <w:rPr>
                <w:lang w:val="en-US"/>
              </w:rPr>
              <w:t>(3,90)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1EE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 xml:space="preserve"> 10,87</w:t>
            </w:r>
            <w:r w:rsidRPr="007047B1">
              <w:rPr>
                <w:lang w:val="en-US"/>
              </w:rPr>
              <w:t xml:space="preserve"> (10,25)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5CC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 xml:space="preserve"> </w:t>
            </w:r>
            <w:r w:rsidRPr="007047B1">
              <w:t>7,14</w:t>
            </w:r>
            <w:r w:rsidRPr="007047B1">
              <w:rPr>
                <w:lang w:val="en-US"/>
              </w:rPr>
              <w:t xml:space="preserve"> (7,82)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70E3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rPr>
                <w:lang w:val="en-US"/>
              </w:rPr>
              <w:t xml:space="preserve"> </w:t>
            </w:r>
            <w:r w:rsidRPr="007047B1">
              <w:t>6,80</w:t>
            </w:r>
            <w:r w:rsidRPr="007047B1">
              <w:rPr>
                <w:lang w:val="en-US"/>
              </w:rPr>
              <w:t xml:space="preserve"> (7,18)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020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527</w:t>
            </w:r>
          </w:p>
          <w:p w14:paraId="7FB9D31B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</w:pPr>
            <w:r w:rsidRPr="007047B1">
              <w:t>(5,38)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4A9B9" w14:textId="77777777" w:rsidR="00AA6549" w:rsidRPr="007047B1" w:rsidRDefault="00AA6549" w:rsidP="007047B1">
            <w:pPr>
              <w:autoSpaceDE w:val="0"/>
              <w:autoSpaceDN w:val="0"/>
              <w:contextualSpacing/>
              <w:jc w:val="center"/>
              <w:rPr>
                <w:lang w:val="en-US"/>
              </w:rPr>
            </w:pPr>
            <w:r w:rsidRPr="007047B1">
              <w:t>7,87</w:t>
            </w:r>
          </w:p>
        </w:tc>
      </w:tr>
    </w:tbl>
    <w:bookmarkEnd w:id="0"/>
    <w:p w14:paraId="4438B905" w14:textId="4F4E6631" w:rsidR="003E6655" w:rsidRPr="00E24B25" w:rsidRDefault="00E24B25" w:rsidP="00E24B25">
      <w:pPr>
        <w:contextualSpacing/>
        <w:jc w:val="center"/>
        <w:rPr>
          <w:rFonts w:eastAsia="SimSun"/>
          <w:b/>
          <w:bCs/>
          <w:lang w:eastAsia="zh-CN" w:bidi="ar"/>
        </w:rPr>
      </w:pPr>
      <w:r w:rsidRPr="00E24B25">
        <w:rPr>
          <w:rFonts w:eastAsia="SimSun"/>
          <w:b/>
          <w:bCs/>
          <w:lang w:eastAsia="zh-CN" w:bidi="ar"/>
        </w:rPr>
        <w:t>Литература</w:t>
      </w:r>
    </w:p>
    <w:p w14:paraId="0310EB49" w14:textId="66102D09" w:rsidR="00B2649F" w:rsidRPr="007047B1" w:rsidRDefault="00E24B25" w:rsidP="00E24B25">
      <w:pPr>
        <w:contextualSpacing/>
        <w:jc w:val="both"/>
        <w:rPr>
          <w:lang w:val="en-US"/>
        </w:rPr>
      </w:pPr>
      <w:r w:rsidRPr="00E24B25">
        <w:rPr>
          <w:lang w:val="en-US"/>
        </w:rPr>
        <w:t>1.</w:t>
      </w:r>
      <w:r w:rsidR="00B2649F" w:rsidRPr="007047B1">
        <w:rPr>
          <w:lang w:val="en-US"/>
        </w:rPr>
        <w:t xml:space="preserve"> Okawa S. Separation and Determination of Manganese (II), Cobalt (II), Nickel (II), Copper (II), Zinc (II) and Cadmium (II) by Ion Chromatography Using 10-(2-pyridylazo)-9-phenanthrol as a Postcolumn Derivatization Reagent // Proc. Of the Institute of Natural Sci., Nihon Unw. 2005</w:t>
      </w:r>
      <w:r w:rsidRPr="00E24B25">
        <w:rPr>
          <w:lang w:val="en-US"/>
        </w:rPr>
        <w:t>.</w:t>
      </w:r>
      <w:r w:rsidR="00B2649F" w:rsidRPr="007047B1">
        <w:rPr>
          <w:lang w:val="en-US"/>
        </w:rPr>
        <w:t xml:space="preserve"> V. 40</w:t>
      </w:r>
      <w:r>
        <w:rPr>
          <w:lang w:val="en-US"/>
        </w:rPr>
        <w:t xml:space="preserve">. </w:t>
      </w:r>
      <w:r w:rsidR="00B2649F" w:rsidRPr="007047B1">
        <w:rPr>
          <w:lang w:val="en-US"/>
        </w:rPr>
        <w:t>P. 217.</w:t>
      </w:r>
    </w:p>
    <w:p w14:paraId="3D39A29E" w14:textId="027B1897" w:rsidR="00BD7AC5" w:rsidRPr="00E24B25" w:rsidRDefault="00E24B25" w:rsidP="00E24B25">
      <w:pPr>
        <w:pStyle w:val="a5"/>
        <w:ind w:left="0"/>
        <w:jc w:val="both"/>
        <w:rPr>
          <w:rFonts w:eastAsia="SimSun"/>
          <w:lang w:val="en-US" w:eastAsia="zh-CN" w:bidi="ar"/>
        </w:rPr>
      </w:pPr>
      <w:r w:rsidRPr="00E24B25">
        <w:rPr>
          <w:lang w:val="en-US"/>
        </w:rPr>
        <w:t>2.</w:t>
      </w:r>
      <w:r w:rsidR="00B2649F" w:rsidRPr="007047B1">
        <w:rPr>
          <w:lang w:val="en-US"/>
        </w:rPr>
        <w:t xml:space="preserve"> Dinda S., Sannigrahi A., Maiti B., Ghosh S. Molecular and electronic structures, spectra, electrochemistry and anti-bacterial efficacy of novel heterocyclic hydrazones of phenanthrenequinone and their nickel(II) complexes // ChemistrySelect, 2022</w:t>
      </w:r>
      <w:r w:rsidRPr="00E24B25">
        <w:rPr>
          <w:lang w:val="en-US"/>
        </w:rPr>
        <w:t>.</w:t>
      </w:r>
      <w:r w:rsidR="00B2649F" w:rsidRPr="007047B1">
        <w:rPr>
          <w:lang w:val="en-US"/>
        </w:rPr>
        <w:t xml:space="preserve"> V. 7, № 34.</w:t>
      </w:r>
      <w:r>
        <w:t xml:space="preserve"> </w:t>
      </w:r>
      <w:r>
        <w:rPr>
          <w:lang w:val="en-US"/>
        </w:rPr>
        <w:t xml:space="preserve">P. </w:t>
      </w:r>
      <w:r w:rsidRPr="00E24B25">
        <w:t>e202202151</w:t>
      </w:r>
    </w:p>
    <w:sectPr w:rsidR="00BD7AC5" w:rsidRPr="00E24B2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60B"/>
    <w:multiLevelType w:val="hybridMultilevel"/>
    <w:tmpl w:val="C012258E"/>
    <w:lvl w:ilvl="0" w:tplc="28C68FC6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0127">
    <w:abstractNumId w:val="3"/>
  </w:num>
  <w:num w:numId="2" w16cid:durableId="1367562709">
    <w:abstractNumId w:val="4"/>
  </w:num>
  <w:num w:numId="3" w16cid:durableId="76752517">
    <w:abstractNumId w:val="2"/>
  </w:num>
  <w:num w:numId="4" w16cid:durableId="336353177">
    <w:abstractNumId w:val="0"/>
  </w:num>
  <w:num w:numId="5" w16cid:durableId="188344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FDC"/>
    <w:rsid w:val="00063966"/>
    <w:rsid w:val="00075D6E"/>
    <w:rsid w:val="00077BB2"/>
    <w:rsid w:val="00086081"/>
    <w:rsid w:val="0009449A"/>
    <w:rsid w:val="00094FD0"/>
    <w:rsid w:val="000D0AFA"/>
    <w:rsid w:val="000E334E"/>
    <w:rsid w:val="00101A1C"/>
    <w:rsid w:val="00103657"/>
    <w:rsid w:val="00106375"/>
    <w:rsid w:val="00107AA3"/>
    <w:rsid w:val="00116478"/>
    <w:rsid w:val="00130241"/>
    <w:rsid w:val="001C5B86"/>
    <w:rsid w:val="001E61C2"/>
    <w:rsid w:val="001F0493"/>
    <w:rsid w:val="0022260A"/>
    <w:rsid w:val="002264EE"/>
    <w:rsid w:val="0023307C"/>
    <w:rsid w:val="002B1CD0"/>
    <w:rsid w:val="0031361E"/>
    <w:rsid w:val="00344930"/>
    <w:rsid w:val="00352358"/>
    <w:rsid w:val="00373E2D"/>
    <w:rsid w:val="00391C38"/>
    <w:rsid w:val="003B2730"/>
    <w:rsid w:val="003B76D6"/>
    <w:rsid w:val="003D09AD"/>
    <w:rsid w:val="003E2601"/>
    <w:rsid w:val="003E6655"/>
    <w:rsid w:val="003F4E6B"/>
    <w:rsid w:val="004A26A3"/>
    <w:rsid w:val="004F0EDF"/>
    <w:rsid w:val="00522BF1"/>
    <w:rsid w:val="00590166"/>
    <w:rsid w:val="005B07E6"/>
    <w:rsid w:val="005D022B"/>
    <w:rsid w:val="005E5BE9"/>
    <w:rsid w:val="00655FB1"/>
    <w:rsid w:val="00665279"/>
    <w:rsid w:val="0069427D"/>
    <w:rsid w:val="006F7A19"/>
    <w:rsid w:val="007047B1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9559D"/>
    <w:rsid w:val="009A66DB"/>
    <w:rsid w:val="009B2F80"/>
    <w:rsid w:val="009B3300"/>
    <w:rsid w:val="009F3380"/>
    <w:rsid w:val="00A02163"/>
    <w:rsid w:val="00A314FE"/>
    <w:rsid w:val="00A449E6"/>
    <w:rsid w:val="00AA1D62"/>
    <w:rsid w:val="00AA6549"/>
    <w:rsid w:val="00AD7380"/>
    <w:rsid w:val="00B001DE"/>
    <w:rsid w:val="00B2649F"/>
    <w:rsid w:val="00BD7AC5"/>
    <w:rsid w:val="00BF36F8"/>
    <w:rsid w:val="00BF4622"/>
    <w:rsid w:val="00C36346"/>
    <w:rsid w:val="00C844E2"/>
    <w:rsid w:val="00CD00B1"/>
    <w:rsid w:val="00D22306"/>
    <w:rsid w:val="00D37D84"/>
    <w:rsid w:val="00D42542"/>
    <w:rsid w:val="00D71C4D"/>
    <w:rsid w:val="00D8121C"/>
    <w:rsid w:val="00DD47C4"/>
    <w:rsid w:val="00E22189"/>
    <w:rsid w:val="00E24B25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аголовок_тезисов"/>
    <w:basedOn w:val="a"/>
    <w:link w:val="ad"/>
    <w:qFormat/>
    <w:rsid w:val="000D0AFA"/>
    <w:pPr>
      <w:spacing w:line="360" w:lineRule="auto"/>
      <w:ind w:right="-1"/>
      <w:jc w:val="center"/>
    </w:pPr>
    <w:rPr>
      <w:rFonts w:cs="Arial"/>
      <w:b/>
      <w:caps/>
      <w:sz w:val="28"/>
      <w:szCs w:val="28"/>
    </w:rPr>
  </w:style>
  <w:style w:type="paragraph" w:customStyle="1" w:styleId="ae">
    <w:name w:val="Докладчик"/>
    <w:basedOn w:val="a"/>
    <w:link w:val="af"/>
    <w:qFormat/>
    <w:rsid w:val="000D0AFA"/>
    <w:pPr>
      <w:spacing w:line="360" w:lineRule="auto"/>
      <w:ind w:right="-1"/>
      <w:jc w:val="center"/>
    </w:pPr>
    <w:rPr>
      <w:rFonts w:eastAsia="Batang" w:cs="Arial"/>
      <w:iCs/>
      <w:u w:val="single"/>
    </w:rPr>
  </w:style>
  <w:style w:type="character" w:customStyle="1" w:styleId="ad">
    <w:name w:val="Заголовок_тезисов Знак"/>
    <w:link w:val="ac"/>
    <w:rsid w:val="000D0AFA"/>
    <w:rPr>
      <w:rFonts w:ascii="Times New Roman" w:eastAsia="Times New Roman" w:hAnsi="Times New Roman" w:cs="Arial"/>
      <w:b/>
      <w:caps/>
      <w:sz w:val="28"/>
      <w:szCs w:val="28"/>
    </w:rPr>
  </w:style>
  <w:style w:type="character" w:customStyle="1" w:styleId="af">
    <w:name w:val="Докладчик Знак"/>
    <w:link w:val="ae"/>
    <w:rsid w:val="000D0AFA"/>
    <w:rPr>
      <w:rFonts w:ascii="Times New Roman" w:eastAsia="Batang" w:hAnsi="Times New Roman" w:cs="Arial"/>
      <w:iCs/>
      <w:sz w:val="24"/>
      <w:szCs w:val="24"/>
      <w:u w:val="single"/>
    </w:rPr>
  </w:style>
  <w:style w:type="paragraph" w:customStyle="1" w:styleId="af0">
    <w:name w:val="Место_работы_тезисы"/>
    <w:basedOn w:val="a"/>
    <w:link w:val="af1"/>
    <w:qFormat/>
    <w:rsid w:val="000D0AFA"/>
    <w:pPr>
      <w:spacing w:line="360" w:lineRule="auto"/>
      <w:ind w:right="-1"/>
      <w:jc w:val="center"/>
    </w:pPr>
    <w:rPr>
      <w:rFonts w:eastAsia="Batang" w:cs="Arial"/>
    </w:rPr>
  </w:style>
  <w:style w:type="paragraph" w:customStyle="1" w:styleId="E-mail">
    <w:name w:val="E-mail_тезисы"/>
    <w:basedOn w:val="a"/>
    <w:link w:val="E-mail0"/>
    <w:qFormat/>
    <w:rsid w:val="000D0AFA"/>
    <w:pPr>
      <w:spacing w:line="360" w:lineRule="auto"/>
      <w:ind w:right="-1"/>
      <w:jc w:val="center"/>
    </w:pPr>
    <w:rPr>
      <w:rFonts w:eastAsia="Batang" w:cs="Arial"/>
      <w:lang w:val="en-US"/>
    </w:rPr>
  </w:style>
  <w:style w:type="character" w:customStyle="1" w:styleId="af1">
    <w:name w:val="Место_работы_тезисы Знак"/>
    <w:link w:val="af0"/>
    <w:rsid w:val="000D0AFA"/>
    <w:rPr>
      <w:rFonts w:ascii="Times New Roman" w:eastAsia="Batang" w:hAnsi="Times New Roman" w:cs="Arial"/>
      <w:sz w:val="24"/>
      <w:szCs w:val="24"/>
    </w:rPr>
  </w:style>
  <w:style w:type="character" w:customStyle="1" w:styleId="E-mail0">
    <w:name w:val="E-mail_тезисы Знак"/>
    <w:link w:val="E-mail"/>
    <w:rsid w:val="000D0AFA"/>
    <w:rPr>
      <w:rFonts w:ascii="Times New Roman" w:eastAsia="Batang" w:hAnsi="Times New Roman" w:cs="Arial"/>
      <w:sz w:val="24"/>
      <w:szCs w:val="24"/>
      <w:lang w:val="en-US"/>
    </w:rPr>
  </w:style>
  <w:style w:type="paragraph" w:customStyle="1" w:styleId="af2">
    <w:name w:val="Литература_тезисы"/>
    <w:basedOn w:val="a"/>
    <w:link w:val="af3"/>
    <w:qFormat/>
    <w:rsid w:val="000D0AFA"/>
    <w:pPr>
      <w:spacing w:line="360" w:lineRule="auto"/>
      <w:ind w:right="-1"/>
      <w:jc w:val="both"/>
    </w:pPr>
    <w:rPr>
      <w:rFonts w:eastAsia="Batang" w:cs="Arial"/>
    </w:rPr>
  </w:style>
  <w:style w:type="character" w:customStyle="1" w:styleId="af3">
    <w:name w:val="Литература_тезисы Знак"/>
    <w:link w:val="af2"/>
    <w:rsid w:val="000D0AFA"/>
    <w:rPr>
      <w:rFonts w:ascii="Times New Roman" w:eastAsia="Batang" w:hAnsi="Times New Roman" w:cs="Arial"/>
      <w:sz w:val="24"/>
      <w:szCs w:val="24"/>
    </w:rPr>
  </w:style>
  <w:style w:type="paragraph" w:customStyle="1" w:styleId="CharChar1">
    <w:name w:val="Char Char1"/>
    <w:basedOn w:val="a"/>
    <w:rsid w:val="00B264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Andrey Dobrovolskii</cp:lastModifiedBy>
  <cp:revision>8</cp:revision>
  <cp:lastPrinted>2026-01-28T14:24:00Z</cp:lastPrinted>
  <dcterms:created xsi:type="dcterms:W3CDTF">2026-03-17T07:43:00Z</dcterms:created>
  <dcterms:modified xsi:type="dcterms:W3CDTF">2026-03-17T09:55:00Z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