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66C" w:rsidRDefault="00E26291" w:rsidP="00EB259F">
      <w:pPr>
        <w:shd w:val="clear" w:color="auto" w:fill="FFFFFF"/>
        <w:spacing w:line="240" w:lineRule="auto"/>
        <w:jc w:val="center"/>
        <w:rPr>
          <w:rFonts w:ascii="Times New Roman" w:eastAsia="Times New Roman" w:hAnsi="Times New Roman" w:cs="Times New Roman"/>
          <w:i/>
          <w:iCs/>
          <w:sz w:val="24"/>
          <w:szCs w:val="24"/>
        </w:rPr>
      </w:pPr>
      <w:bookmarkStart w:id="0" w:name="_GoBack"/>
      <w:bookmarkEnd w:id="0"/>
      <w:r>
        <w:rPr>
          <w:rFonts w:ascii="Times New Roman" w:eastAsia="Times New Roman" w:hAnsi="Times New Roman" w:cs="Times New Roman"/>
          <w:b/>
          <w:bCs/>
          <w:sz w:val="24"/>
          <w:szCs w:val="24"/>
        </w:rPr>
        <w:t xml:space="preserve">Поиск представительных </w:t>
      </w:r>
      <w:proofErr w:type="spellStart"/>
      <w:r>
        <w:rPr>
          <w:rFonts w:ascii="Times New Roman" w:eastAsia="Times New Roman" w:hAnsi="Times New Roman" w:cs="Times New Roman"/>
          <w:b/>
          <w:bCs/>
          <w:sz w:val="24"/>
          <w:szCs w:val="24"/>
        </w:rPr>
        <w:t>конформаций</w:t>
      </w:r>
      <w:proofErr w:type="spellEnd"/>
      <w:r>
        <w:rPr>
          <w:rFonts w:ascii="Times New Roman" w:eastAsia="Times New Roman" w:hAnsi="Times New Roman" w:cs="Times New Roman"/>
          <w:b/>
          <w:bCs/>
          <w:sz w:val="24"/>
          <w:szCs w:val="24"/>
        </w:rPr>
        <w:t xml:space="preserve"> для ансамблевого </w:t>
      </w:r>
      <w:proofErr w:type="spellStart"/>
      <w:r>
        <w:rPr>
          <w:rFonts w:ascii="Times New Roman" w:eastAsia="Times New Roman" w:hAnsi="Times New Roman" w:cs="Times New Roman"/>
          <w:b/>
          <w:bCs/>
          <w:sz w:val="24"/>
          <w:szCs w:val="24"/>
        </w:rPr>
        <w:t>докинга</w:t>
      </w:r>
      <w:proofErr w:type="spellEnd"/>
      <w:r>
        <w:rPr>
          <w:rFonts w:ascii="Times New Roman" w:eastAsia="Times New Roman" w:hAnsi="Times New Roman" w:cs="Times New Roman"/>
          <w:b/>
          <w:bCs/>
          <w:sz w:val="24"/>
          <w:szCs w:val="24"/>
        </w:rPr>
        <w:t xml:space="preserve"> при помощи анализа главных компонент для поиска селективных ингибиторов </w:t>
      </w:r>
      <w:proofErr w:type="spellStart"/>
      <w:r>
        <w:rPr>
          <w:rFonts w:ascii="Times New Roman" w:eastAsia="Times New Roman" w:hAnsi="Times New Roman" w:cs="Times New Roman"/>
          <w:b/>
          <w:bCs/>
          <w:sz w:val="24"/>
          <w:szCs w:val="24"/>
        </w:rPr>
        <w:t>холинэстераз</w:t>
      </w:r>
      <w:proofErr w:type="spellEnd"/>
      <w:r>
        <w:rPr>
          <w:rFonts w:ascii="Times New Roman" w:eastAsia="Times New Roman" w:hAnsi="Times New Roman" w:cs="Times New Roman"/>
          <w:b/>
          <w:bCs/>
          <w:sz w:val="24"/>
          <w:szCs w:val="24"/>
        </w:rPr>
        <w:br/>
      </w:r>
      <w:proofErr w:type="spellStart"/>
      <w:r>
        <w:rPr>
          <w:rFonts w:ascii="Times New Roman" w:eastAsia="Times New Roman" w:hAnsi="Times New Roman" w:cs="Times New Roman"/>
          <w:b/>
          <w:bCs/>
          <w:i/>
          <w:iCs/>
          <w:sz w:val="24"/>
          <w:szCs w:val="24"/>
        </w:rPr>
        <w:t>Шикина</w:t>
      </w:r>
      <w:proofErr w:type="spellEnd"/>
      <w:r>
        <w:rPr>
          <w:rFonts w:ascii="Times New Roman" w:eastAsia="Times New Roman" w:hAnsi="Times New Roman" w:cs="Times New Roman"/>
          <w:b/>
          <w:bCs/>
          <w:i/>
          <w:iCs/>
          <w:sz w:val="24"/>
          <w:szCs w:val="24"/>
        </w:rPr>
        <w:t xml:space="preserve"> Е.В., Шульга Д.А., </w:t>
      </w:r>
      <w:proofErr w:type="spellStart"/>
      <w:r>
        <w:rPr>
          <w:rFonts w:ascii="Times New Roman" w:eastAsia="Times New Roman" w:hAnsi="Times New Roman" w:cs="Times New Roman"/>
          <w:b/>
          <w:bCs/>
          <w:i/>
          <w:iCs/>
          <w:sz w:val="24"/>
          <w:szCs w:val="24"/>
        </w:rPr>
        <w:t>Палюлин</w:t>
      </w:r>
      <w:proofErr w:type="spellEnd"/>
      <w:r>
        <w:rPr>
          <w:rFonts w:ascii="Times New Roman" w:eastAsia="Times New Roman" w:hAnsi="Times New Roman" w:cs="Times New Roman"/>
          <w:b/>
          <w:bCs/>
          <w:i/>
          <w:iCs/>
          <w:sz w:val="24"/>
          <w:szCs w:val="24"/>
        </w:rPr>
        <w:t xml:space="preserve"> В.А.</w:t>
      </w:r>
      <w:r>
        <w:rPr>
          <w:rFonts w:ascii="Times New Roman" w:eastAsia="Times New Roman" w:hAnsi="Times New Roman" w:cs="Times New Roman"/>
          <w:b/>
          <w:bCs/>
          <w:i/>
          <w:iCs/>
          <w:sz w:val="24"/>
          <w:szCs w:val="24"/>
        </w:rPr>
        <w:br/>
      </w:r>
      <w:r>
        <w:rPr>
          <w:rFonts w:ascii="Times New Roman" w:eastAsia="Times New Roman" w:hAnsi="Times New Roman" w:cs="Times New Roman"/>
          <w:i/>
          <w:iCs/>
          <w:sz w:val="24"/>
          <w:szCs w:val="24"/>
        </w:rPr>
        <w:t>Аспирант, 2 г/о</w:t>
      </w:r>
      <w:r>
        <w:rPr>
          <w:rFonts w:ascii="Times New Roman" w:eastAsia="Times New Roman" w:hAnsi="Times New Roman" w:cs="Times New Roman"/>
          <w:i/>
          <w:iCs/>
          <w:sz w:val="24"/>
          <w:szCs w:val="24"/>
        </w:rPr>
        <w:br/>
        <w:t>Московский государственный университет имени М.В. Ломоносова,</w:t>
      </w:r>
      <w:r>
        <w:rPr>
          <w:rFonts w:ascii="Times New Roman" w:eastAsia="Times New Roman" w:hAnsi="Times New Roman" w:cs="Times New Roman"/>
          <w:i/>
          <w:iCs/>
          <w:sz w:val="24"/>
          <w:szCs w:val="24"/>
        </w:rPr>
        <w:br/>
        <w:t>химический факультет, Москва, Россия</w:t>
      </w:r>
      <w:r>
        <w:rPr>
          <w:rFonts w:ascii="Times New Roman" w:eastAsia="Times New Roman" w:hAnsi="Times New Roman" w:cs="Times New Roman"/>
          <w:i/>
          <w:iCs/>
          <w:sz w:val="24"/>
          <w:szCs w:val="24"/>
        </w:rPr>
        <w:br/>
      </w:r>
      <w:proofErr w:type="spellStart"/>
      <w:r>
        <w:rPr>
          <w:rFonts w:ascii="Times New Roman" w:eastAsia="Times New Roman" w:hAnsi="Times New Roman" w:cs="Times New Roman"/>
          <w:i/>
          <w:iCs/>
          <w:sz w:val="24"/>
          <w:szCs w:val="24"/>
        </w:rPr>
        <w:t>E-mail</w:t>
      </w:r>
      <w:proofErr w:type="spellEnd"/>
      <w:r>
        <w:rPr>
          <w:rFonts w:ascii="Times New Roman" w:eastAsia="Times New Roman" w:hAnsi="Times New Roman" w:cs="Times New Roman"/>
          <w:i/>
          <w:iCs/>
          <w:sz w:val="24"/>
          <w:szCs w:val="24"/>
        </w:rPr>
        <w:t xml:space="preserve">: </w:t>
      </w:r>
      <w:hyperlink r:id="rId5">
        <w:r>
          <w:rPr>
            <w:rFonts w:ascii="Times New Roman" w:eastAsia="Times New Roman" w:hAnsi="Times New Roman" w:cs="Times New Roman"/>
            <w:i/>
            <w:iCs/>
            <w:color w:val="1155CC"/>
            <w:sz w:val="24"/>
            <w:szCs w:val="24"/>
            <w:u w:val="single"/>
          </w:rPr>
          <w:t>shikina00@gmail.com</w:t>
        </w:r>
      </w:hyperlink>
    </w:p>
    <w:p w:rsidR="0032166C" w:rsidRDefault="00E26291" w:rsidP="00EB259F">
      <w:pPr>
        <w:shd w:val="clear" w:color="auto" w:fill="FFFFFF"/>
        <w:spacing w:line="24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мере прогрессирования болезни Альцгеймера снижается активность </w:t>
      </w:r>
      <w:proofErr w:type="spellStart"/>
      <w:r>
        <w:rPr>
          <w:rFonts w:ascii="Times New Roman" w:eastAsia="Times New Roman" w:hAnsi="Times New Roman" w:cs="Times New Roman"/>
          <w:sz w:val="24"/>
          <w:szCs w:val="24"/>
        </w:rPr>
        <w:t>ацетилхолинэстеразы</w:t>
      </w:r>
      <w:proofErr w:type="spellEnd"/>
      <w:r>
        <w:rPr>
          <w:rFonts w:ascii="Times New Roman" w:eastAsia="Times New Roman" w:hAnsi="Times New Roman" w:cs="Times New Roman"/>
          <w:sz w:val="24"/>
          <w:szCs w:val="24"/>
        </w:rPr>
        <w:t xml:space="preserve"> (АХЭ) и </w:t>
      </w:r>
      <w:proofErr w:type="spellStart"/>
      <w:r>
        <w:rPr>
          <w:rFonts w:ascii="Times New Roman" w:eastAsia="Times New Roman" w:hAnsi="Times New Roman" w:cs="Times New Roman"/>
          <w:sz w:val="24"/>
          <w:szCs w:val="24"/>
        </w:rPr>
        <w:t>компенсаторно</w:t>
      </w:r>
      <w:proofErr w:type="spellEnd"/>
      <w:r>
        <w:rPr>
          <w:rFonts w:ascii="Times New Roman" w:eastAsia="Times New Roman" w:hAnsi="Times New Roman" w:cs="Times New Roman"/>
          <w:sz w:val="24"/>
          <w:szCs w:val="24"/>
        </w:rPr>
        <w:t xml:space="preserve"> увеличивается активность </w:t>
      </w:r>
      <w:proofErr w:type="spellStart"/>
      <w:r>
        <w:rPr>
          <w:rFonts w:ascii="Times New Roman" w:eastAsia="Times New Roman" w:hAnsi="Times New Roman" w:cs="Times New Roman"/>
          <w:sz w:val="24"/>
          <w:szCs w:val="24"/>
        </w:rPr>
        <w:t>бутирилхолинэстеразы</w:t>
      </w:r>
      <w:proofErr w:type="spellEnd"/>
      <w:r>
        <w:rPr>
          <w:rFonts w:ascii="Times New Roman" w:eastAsia="Times New Roman" w:hAnsi="Times New Roman" w:cs="Times New Roman"/>
          <w:sz w:val="24"/>
          <w:szCs w:val="24"/>
        </w:rPr>
        <w:t xml:space="preserve"> (БХЭ) [1]. Учитывая это, предполагается, что селективное ингибирование БХЭ может стать многообещающим терапевтическим методом. Несмотря на структурную изученность обеих мишеней, разработка селективных ингибиторов остается сложной задачей. Предполагается, что учет гибкости мишеней позволит оптимизировать поиск селективных </w:t>
      </w:r>
      <w:proofErr w:type="spellStart"/>
      <w:r>
        <w:rPr>
          <w:rFonts w:ascii="Times New Roman" w:eastAsia="Times New Roman" w:hAnsi="Times New Roman" w:cs="Times New Roman"/>
          <w:sz w:val="24"/>
          <w:szCs w:val="24"/>
        </w:rPr>
        <w:t>лигандов</w:t>
      </w:r>
      <w:proofErr w:type="spellEnd"/>
      <w:r>
        <w:rPr>
          <w:rFonts w:ascii="Times New Roman" w:eastAsia="Times New Roman" w:hAnsi="Times New Roman" w:cs="Times New Roman"/>
          <w:sz w:val="24"/>
          <w:szCs w:val="24"/>
        </w:rPr>
        <w:t xml:space="preserve">. Один из методов, который позволяет учесть гибкость мишени - это ансамблевый </w:t>
      </w:r>
      <w:proofErr w:type="spellStart"/>
      <w:r>
        <w:rPr>
          <w:rFonts w:ascii="Times New Roman" w:eastAsia="Times New Roman" w:hAnsi="Times New Roman" w:cs="Times New Roman"/>
          <w:sz w:val="24"/>
          <w:szCs w:val="24"/>
        </w:rPr>
        <w:t>докинг</w:t>
      </w:r>
      <w:proofErr w:type="spellEnd"/>
      <w:r>
        <w:rPr>
          <w:rFonts w:ascii="Times New Roman" w:eastAsia="Times New Roman" w:hAnsi="Times New Roman" w:cs="Times New Roman"/>
          <w:sz w:val="24"/>
          <w:szCs w:val="24"/>
        </w:rPr>
        <w:t xml:space="preserve"> [2].</w:t>
      </w:r>
    </w:p>
    <w:p w:rsidR="0032166C" w:rsidRDefault="00E26291" w:rsidP="00EB259F">
      <w:pPr>
        <w:shd w:val="clear" w:color="auto" w:fill="FFFFFF"/>
        <w:spacing w:line="24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Целью работы являлось формирование представительных ансамблей </w:t>
      </w:r>
      <w:proofErr w:type="spellStart"/>
      <w:r>
        <w:rPr>
          <w:rFonts w:ascii="Times New Roman" w:eastAsia="Times New Roman" w:hAnsi="Times New Roman" w:cs="Times New Roman"/>
          <w:sz w:val="24"/>
          <w:szCs w:val="24"/>
        </w:rPr>
        <w:t>конформаций</w:t>
      </w:r>
      <w:proofErr w:type="spellEnd"/>
      <w:r>
        <w:rPr>
          <w:rFonts w:ascii="Times New Roman" w:eastAsia="Times New Roman" w:hAnsi="Times New Roman" w:cs="Times New Roman"/>
          <w:sz w:val="24"/>
          <w:szCs w:val="24"/>
        </w:rPr>
        <w:t xml:space="preserve"> АХЭ и БХЭ с использованием метода главных компонент (</w:t>
      </w:r>
      <w:proofErr w:type="spellStart"/>
      <w:r>
        <w:rPr>
          <w:rFonts w:ascii="Times New Roman" w:eastAsia="Times New Roman" w:hAnsi="Times New Roman" w:cs="Times New Roman"/>
          <w:sz w:val="24"/>
          <w:szCs w:val="24"/>
        </w:rPr>
        <w:t>Principal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Component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Analysis</w:t>
      </w:r>
      <w:proofErr w:type="spellEnd"/>
      <w:r>
        <w:rPr>
          <w:rFonts w:ascii="Times New Roman" w:eastAsia="Times New Roman" w:hAnsi="Times New Roman" w:cs="Times New Roman"/>
          <w:sz w:val="24"/>
          <w:szCs w:val="24"/>
        </w:rPr>
        <w:t xml:space="preserve">, PCA) для последующего </w:t>
      </w:r>
      <w:proofErr w:type="spellStart"/>
      <w:r>
        <w:rPr>
          <w:rFonts w:ascii="Times New Roman" w:eastAsia="Times New Roman" w:hAnsi="Times New Roman" w:cs="Times New Roman"/>
          <w:sz w:val="24"/>
          <w:szCs w:val="24"/>
        </w:rPr>
        <w:t>докинга</w:t>
      </w:r>
      <w:proofErr w:type="spellEnd"/>
      <w:r>
        <w:rPr>
          <w:rFonts w:ascii="Times New Roman" w:eastAsia="Times New Roman" w:hAnsi="Times New Roman" w:cs="Times New Roman"/>
          <w:sz w:val="24"/>
          <w:szCs w:val="24"/>
        </w:rPr>
        <w:t xml:space="preserve">. </w:t>
      </w:r>
    </w:p>
    <w:p w:rsidR="0032166C" w:rsidRDefault="00E26291" w:rsidP="00EB259F">
      <w:pPr>
        <w:shd w:val="clear" w:color="auto" w:fill="FFFFFF"/>
        <w:spacing w:line="240" w:lineRule="auto"/>
        <w:ind w:firstLine="720"/>
        <w:rPr>
          <w:rFonts w:ascii="Times New Roman" w:eastAsia="Times New Roman" w:hAnsi="Times New Roman" w:cs="Times New Roman"/>
          <w:sz w:val="24"/>
          <w:szCs w:val="24"/>
          <w:highlight w:val="yellow"/>
        </w:rPr>
      </w:pPr>
      <w:r>
        <w:rPr>
          <w:rFonts w:ascii="Times New Roman" w:eastAsia="Times New Roman" w:hAnsi="Times New Roman" w:cs="Times New Roman"/>
          <w:noProof/>
          <w:sz w:val="24"/>
          <w:szCs w:val="24"/>
        </w:rPr>
        <w:drawing>
          <wp:inline distT="114300" distB="114300" distL="114300" distR="114300">
            <wp:extent cx="4867275" cy="2171700"/>
            <wp:effectExtent l="0" t="0" r="9525"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cstate="print"/>
                    <a:srcRect/>
                    <a:stretch>
                      <a:fillRect/>
                    </a:stretch>
                  </pic:blipFill>
                  <pic:spPr>
                    <a:xfrm>
                      <a:off x="0" y="0"/>
                      <a:ext cx="4867775" cy="2171923"/>
                    </a:xfrm>
                    <a:prstGeom prst="rect">
                      <a:avLst/>
                    </a:prstGeom>
                    <a:ln/>
                  </pic:spPr>
                </pic:pic>
              </a:graphicData>
            </a:graphic>
          </wp:inline>
        </w:drawing>
      </w:r>
    </w:p>
    <w:p w:rsidR="0032166C" w:rsidRDefault="00E26291" w:rsidP="00EB259F">
      <w:pPr>
        <w:shd w:val="clear" w:color="auto" w:fill="FFFFFF"/>
        <w:spacing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 1. Анализ главных компонент (PCA) </w:t>
      </w:r>
      <w:proofErr w:type="spellStart"/>
      <w:r>
        <w:rPr>
          <w:rFonts w:ascii="Times New Roman" w:eastAsia="Times New Roman" w:hAnsi="Times New Roman" w:cs="Times New Roman"/>
          <w:sz w:val="24"/>
          <w:szCs w:val="24"/>
        </w:rPr>
        <w:t>конформационных</w:t>
      </w:r>
      <w:proofErr w:type="spellEnd"/>
      <w:r>
        <w:rPr>
          <w:rFonts w:ascii="Times New Roman" w:eastAsia="Times New Roman" w:hAnsi="Times New Roman" w:cs="Times New Roman"/>
          <w:sz w:val="24"/>
          <w:szCs w:val="24"/>
        </w:rPr>
        <w:t xml:space="preserve"> ансамблей </w:t>
      </w:r>
      <w:proofErr w:type="spellStart"/>
      <w:r>
        <w:rPr>
          <w:rFonts w:ascii="Times New Roman" w:eastAsia="Times New Roman" w:hAnsi="Times New Roman" w:cs="Times New Roman"/>
          <w:sz w:val="24"/>
          <w:szCs w:val="24"/>
        </w:rPr>
        <w:t>AChE</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BChE</w:t>
      </w:r>
      <w:proofErr w:type="spellEnd"/>
      <w:r>
        <w:rPr>
          <w:rFonts w:ascii="Times New Roman" w:eastAsia="Times New Roman" w:hAnsi="Times New Roman" w:cs="Times New Roman"/>
          <w:sz w:val="24"/>
          <w:szCs w:val="24"/>
        </w:rPr>
        <w:t xml:space="preserve">, проецируемых на первые два главных компонента (PC1 и PC2). Цветовая маркировка отражает время симуляции для </w:t>
      </w:r>
      <w:proofErr w:type="spellStart"/>
      <w:r>
        <w:rPr>
          <w:rFonts w:ascii="Times New Roman" w:eastAsia="Times New Roman" w:hAnsi="Times New Roman" w:cs="Times New Roman"/>
          <w:sz w:val="24"/>
          <w:szCs w:val="24"/>
        </w:rPr>
        <w:t>апо</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холо-формы</w:t>
      </w:r>
      <w:proofErr w:type="spellEnd"/>
      <w:r>
        <w:rPr>
          <w:rFonts w:ascii="Times New Roman" w:eastAsia="Times New Roman" w:hAnsi="Times New Roman" w:cs="Times New Roman"/>
          <w:sz w:val="24"/>
          <w:szCs w:val="24"/>
        </w:rPr>
        <w:t>.</w:t>
      </w:r>
    </w:p>
    <w:p w:rsidR="0032166C" w:rsidRDefault="0032166C" w:rsidP="00EB259F">
      <w:pPr>
        <w:shd w:val="clear" w:color="auto" w:fill="FFFFFF"/>
        <w:spacing w:line="240" w:lineRule="auto"/>
        <w:ind w:firstLine="720"/>
        <w:jc w:val="both"/>
        <w:rPr>
          <w:rFonts w:ascii="Times New Roman" w:eastAsia="Times New Roman" w:hAnsi="Times New Roman" w:cs="Times New Roman"/>
          <w:sz w:val="24"/>
          <w:szCs w:val="24"/>
        </w:rPr>
      </w:pPr>
    </w:p>
    <w:p w:rsidR="0032166C" w:rsidRDefault="00E26291" w:rsidP="00EB259F">
      <w:pPr>
        <w:shd w:val="clear" w:color="auto" w:fill="FFFFFF"/>
        <w:spacing w:line="24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основе PCA можно сделать вывод, что БХЭ характерны большие амплитуды коллективных движений по сравнению с АХЭ. В пространстве главных компонент у БХЭ наблюдается выраженное распределение конформационный, в то время как для АХЭ это распределение более компактно. Это указывает на большую структурную консервативность активного сайта АХЭ по сравнению с БХЭ. Полученные результаты согласуются с известными различиями в аминокислотном составе </w:t>
      </w:r>
      <w:proofErr w:type="spellStart"/>
      <w:r>
        <w:rPr>
          <w:rFonts w:ascii="Times New Roman" w:eastAsia="Times New Roman" w:hAnsi="Times New Roman" w:cs="Times New Roman"/>
          <w:sz w:val="24"/>
          <w:szCs w:val="24"/>
        </w:rPr>
        <w:t>ацилирующего</w:t>
      </w:r>
      <w:proofErr w:type="spellEnd"/>
      <w:r>
        <w:rPr>
          <w:rFonts w:ascii="Times New Roman" w:eastAsia="Times New Roman" w:hAnsi="Times New Roman" w:cs="Times New Roman"/>
          <w:sz w:val="24"/>
          <w:szCs w:val="24"/>
        </w:rPr>
        <w:t xml:space="preserve"> кармана. </w:t>
      </w:r>
    </w:p>
    <w:p w:rsidR="0032166C" w:rsidRDefault="00E26291" w:rsidP="00EB259F">
      <w:pPr>
        <w:shd w:val="clear" w:color="auto" w:fill="FFFFFF"/>
        <w:spacing w:line="240" w:lineRule="auto"/>
        <w:ind w:firstLine="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Литература</w:t>
      </w:r>
    </w:p>
    <w:p w:rsidR="0032166C" w:rsidRPr="00E26291" w:rsidRDefault="00E26291" w:rsidP="00EB259F">
      <w:pPr>
        <w:numPr>
          <w:ilvl w:val="0"/>
          <w:numId w:val="1"/>
        </w:numPr>
        <w:shd w:val="clear" w:color="auto" w:fill="FFFFFF"/>
        <w:spacing w:line="240" w:lineRule="auto"/>
        <w:ind w:left="0" w:firstLine="0"/>
        <w:rPr>
          <w:rFonts w:ascii="Times New Roman" w:eastAsia="Times New Roman" w:hAnsi="Times New Roman" w:cs="Times New Roman"/>
          <w:sz w:val="24"/>
          <w:szCs w:val="24"/>
          <w:lang w:val="en-US"/>
        </w:rPr>
      </w:pPr>
      <w:r w:rsidRPr="00E26291">
        <w:rPr>
          <w:rFonts w:ascii="Times New Roman" w:eastAsia="Times New Roman" w:hAnsi="Times New Roman" w:cs="Times New Roman"/>
          <w:sz w:val="24"/>
          <w:szCs w:val="24"/>
          <w:lang w:val="en-US"/>
        </w:rPr>
        <w:t xml:space="preserve">Arendt, T. Changes in </w:t>
      </w:r>
      <w:proofErr w:type="spellStart"/>
      <w:r w:rsidRPr="00E26291">
        <w:rPr>
          <w:rFonts w:ascii="Times New Roman" w:eastAsia="Times New Roman" w:hAnsi="Times New Roman" w:cs="Times New Roman"/>
          <w:sz w:val="24"/>
          <w:szCs w:val="24"/>
          <w:lang w:val="en-US"/>
        </w:rPr>
        <w:t>acetylcholinesterase</w:t>
      </w:r>
      <w:proofErr w:type="spellEnd"/>
      <w:r w:rsidRPr="00E26291">
        <w:rPr>
          <w:rFonts w:ascii="Times New Roman" w:eastAsia="Times New Roman" w:hAnsi="Times New Roman" w:cs="Times New Roman"/>
          <w:sz w:val="24"/>
          <w:szCs w:val="24"/>
          <w:lang w:val="en-US"/>
        </w:rPr>
        <w:t xml:space="preserve"> and </w:t>
      </w:r>
      <w:proofErr w:type="spellStart"/>
      <w:r w:rsidRPr="00E26291">
        <w:rPr>
          <w:rFonts w:ascii="Times New Roman" w:eastAsia="Times New Roman" w:hAnsi="Times New Roman" w:cs="Times New Roman"/>
          <w:sz w:val="24"/>
          <w:szCs w:val="24"/>
          <w:lang w:val="en-US"/>
        </w:rPr>
        <w:t>butyrylcholinesterase</w:t>
      </w:r>
      <w:proofErr w:type="spellEnd"/>
      <w:r w:rsidRPr="00E26291">
        <w:rPr>
          <w:rFonts w:ascii="Times New Roman" w:eastAsia="Times New Roman" w:hAnsi="Times New Roman" w:cs="Times New Roman"/>
          <w:sz w:val="24"/>
          <w:szCs w:val="24"/>
          <w:lang w:val="en-US"/>
        </w:rPr>
        <w:t xml:space="preserve"> in Alzheimer's disease resemble embryonic development — a study of molecular forms // Neurochemistry International. – 1992. – Vol. 21. – P. 381–396.</w:t>
      </w:r>
    </w:p>
    <w:p w:rsidR="0032166C" w:rsidRPr="00E26291" w:rsidRDefault="00E26291" w:rsidP="00EB259F">
      <w:pPr>
        <w:numPr>
          <w:ilvl w:val="0"/>
          <w:numId w:val="1"/>
        </w:numPr>
        <w:shd w:val="clear" w:color="auto" w:fill="FFFFFF"/>
        <w:spacing w:line="240" w:lineRule="auto"/>
        <w:ind w:left="0" w:firstLine="0"/>
        <w:rPr>
          <w:rFonts w:ascii="Times New Roman" w:eastAsia="Times New Roman" w:hAnsi="Times New Roman" w:cs="Times New Roman"/>
          <w:sz w:val="24"/>
          <w:szCs w:val="24"/>
          <w:lang w:val="en-US"/>
        </w:rPr>
      </w:pPr>
      <w:r w:rsidRPr="00E26291">
        <w:rPr>
          <w:rFonts w:ascii="Times New Roman" w:eastAsia="Times New Roman" w:hAnsi="Times New Roman" w:cs="Times New Roman"/>
          <w:sz w:val="24"/>
          <w:szCs w:val="24"/>
          <w:lang w:val="en-US"/>
        </w:rPr>
        <w:t xml:space="preserve">Wang B, Buchman CD, Li L, Hurley TD, </w:t>
      </w:r>
      <w:proofErr w:type="spellStart"/>
      <w:r w:rsidRPr="00E26291">
        <w:rPr>
          <w:rFonts w:ascii="Times New Roman" w:eastAsia="Times New Roman" w:hAnsi="Times New Roman" w:cs="Times New Roman"/>
          <w:sz w:val="24"/>
          <w:szCs w:val="24"/>
          <w:lang w:val="en-US"/>
        </w:rPr>
        <w:t>Meroueh</w:t>
      </w:r>
      <w:proofErr w:type="spellEnd"/>
      <w:r w:rsidRPr="00E26291">
        <w:rPr>
          <w:rFonts w:ascii="Times New Roman" w:eastAsia="Times New Roman" w:hAnsi="Times New Roman" w:cs="Times New Roman"/>
          <w:sz w:val="24"/>
          <w:szCs w:val="24"/>
          <w:lang w:val="en-US"/>
        </w:rPr>
        <w:t xml:space="preserve"> SO. Enrichment of chemical libraries docked to protein conformational ensembles and application to </w:t>
      </w:r>
      <w:proofErr w:type="spellStart"/>
      <w:r w:rsidRPr="00E26291">
        <w:rPr>
          <w:rFonts w:ascii="Times New Roman" w:eastAsia="Times New Roman" w:hAnsi="Times New Roman" w:cs="Times New Roman"/>
          <w:sz w:val="24"/>
          <w:szCs w:val="24"/>
          <w:lang w:val="en-US"/>
        </w:rPr>
        <w:t>aldehyde</w:t>
      </w:r>
      <w:proofErr w:type="spellEnd"/>
      <w:r w:rsidRPr="00E26291">
        <w:rPr>
          <w:rFonts w:ascii="Times New Roman" w:eastAsia="Times New Roman" w:hAnsi="Times New Roman" w:cs="Times New Roman"/>
          <w:sz w:val="24"/>
          <w:szCs w:val="24"/>
          <w:lang w:val="en-US"/>
        </w:rPr>
        <w:t xml:space="preserve"> </w:t>
      </w:r>
      <w:proofErr w:type="spellStart"/>
      <w:r w:rsidRPr="00E26291">
        <w:rPr>
          <w:rFonts w:ascii="Times New Roman" w:eastAsia="Times New Roman" w:hAnsi="Times New Roman" w:cs="Times New Roman"/>
          <w:sz w:val="24"/>
          <w:szCs w:val="24"/>
          <w:lang w:val="en-US"/>
        </w:rPr>
        <w:t>dehydrogenase</w:t>
      </w:r>
      <w:proofErr w:type="spellEnd"/>
      <w:r w:rsidRPr="00E26291">
        <w:rPr>
          <w:rFonts w:ascii="Times New Roman" w:eastAsia="Times New Roman" w:hAnsi="Times New Roman" w:cs="Times New Roman"/>
          <w:sz w:val="24"/>
          <w:szCs w:val="24"/>
          <w:lang w:val="en-US"/>
        </w:rPr>
        <w:t xml:space="preserve"> // J </w:t>
      </w:r>
      <w:proofErr w:type="spellStart"/>
      <w:r w:rsidRPr="00E26291">
        <w:rPr>
          <w:rFonts w:ascii="Times New Roman" w:eastAsia="Times New Roman" w:hAnsi="Times New Roman" w:cs="Times New Roman"/>
          <w:sz w:val="24"/>
          <w:szCs w:val="24"/>
          <w:lang w:val="en-US"/>
        </w:rPr>
        <w:t>Chem</w:t>
      </w:r>
      <w:proofErr w:type="spellEnd"/>
      <w:r w:rsidRPr="00E26291">
        <w:rPr>
          <w:rFonts w:ascii="Times New Roman" w:eastAsia="Times New Roman" w:hAnsi="Times New Roman" w:cs="Times New Roman"/>
          <w:sz w:val="24"/>
          <w:szCs w:val="24"/>
          <w:lang w:val="en-US"/>
        </w:rPr>
        <w:t xml:space="preserve"> </w:t>
      </w:r>
      <w:proofErr w:type="spellStart"/>
      <w:proofErr w:type="gramStart"/>
      <w:r w:rsidRPr="00E26291">
        <w:rPr>
          <w:rFonts w:ascii="Times New Roman" w:eastAsia="Times New Roman" w:hAnsi="Times New Roman" w:cs="Times New Roman"/>
          <w:sz w:val="24"/>
          <w:szCs w:val="24"/>
          <w:lang w:val="en-US"/>
        </w:rPr>
        <w:t>Inf</w:t>
      </w:r>
      <w:proofErr w:type="spellEnd"/>
      <w:proofErr w:type="gramEnd"/>
      <w:r w:rsidRPr="00E26291">
        <w:rPr>
          <w:rFonts w:ascii="Times New Roman" w:eastAsia="Times New Roman" w:hAnsi="Times New Roman" w:cs="Times New Roman"/>
          <w:sz w:val="24"/>
          <w:szCs w:val="24"/>
          <w:lang w:val="en-US"/>
        </w:rPr>
        <w:t xml:space="preserve"> Model. – 2014. </w:t>
      </w:r>
      <w:proofErr w:type="gramStart"/>
      <w:r w:rsidRPr="00E26291">
        <w:rPr>
          <w:rFonts w:ascii="Times New Roman" w:eastAsia="Times New Roman" w:hAnsi="Times New Roman" w:cs="Times New Roman"/>
          <w:sz w:val="24"/>
          <w:szCs w:val="24"/>
          <w:lang w:val="en-US"/>
        </w:rPr>
        <w:t>–  Vol</w:t>
      </w:r>
      <w:proofErr w:type="gramEnd"/>
      <w:r w:rsidRPr="00E26291">
        <w:rPr>
          <w:rFonts w:ascii="Times New Roman" w:eastAsia="Times New Roman" w:hAnsi="Times New Roman" w:cs="Times New Roman"/>
          <w:sz w:val="24"/>
          <w:szCs w:val="24"/>
          <w:lang w:val="en-US"/>
        </w:rPr>
        <w:t>. 54(7). – P. 2105-2116</w:t>
      </w:r>
      <w:r w:rsidR="00EB259F" w:rsidRPr="00EB259F">
        <w:rPr>
          <w:rFonts w:ascii="Times New Roman" w:eastAsia="Times New Roman" w:hAnsi="Times New Roman" w:cs="Times New Roman"/>
          <w:sz w:val="24"/>
          <w:szCs w:val="24"/>
          <w:lang w:val="en-US"/>
        </w:rPr>
        <w:t>.</w:t>
      </w:r>
    </w:p>
    <w:sectPr w:rsidR="0032166C" w:rsidRPr="00E26291" w:rsidSect="002A53EB">
      <w:pgSz w:w="11909" w:h="16834"/>
      <w:pgMar w:top="1134" w:right="1361" w:bottom="1134" w:left="1361" w:header="720" w:footer="720" w:gutter="0"/>
      <w:pgNumType w:start="1"/>
      <w:cols w:space="720"/>
      <w:docGrid w:linePitch="29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9CCF1774-9D95-4CBB-ABAC-5F1AE1326746}"/>
  </w:font>
  <w:font w:name="Calibri">
    <w:panose1 w:val="020F0502020204030204"/>
    <w:charset w:val="CC"/>
    <w:family w:val="swiss"/>
    <w:pitch w:val="variable"/>
    <w:sig w:usb0="E4002EFF" w:usb1="C200247B" w:usb2="00000009" w:usb3="00000000" w:csb0="000001FF" w:csb1="00000000"/>
    <w:embedRegular r:id="rId2" w:fontKey="{B19C7A77-904F-461D-8C48-1D9ABD9EEB97}"/>
  </w:font>
  <w:font w:name="Cambria">
    <w:panose1 w:val="02040503050406030204"/>
    <w:charset w:val="CC"/>
    <w:family w:val="roman"/>
    <w:pitch w:val="variable"/>
    <w:sig w:usb0="E00006FF" w:usb1="420024FF" w:usb2="02000000" w:usb3="00000000" w:csb0="0000019F" w:csb1="00000000"/>
    <w:embedRegular r:id="rId3" w:fontKey="{DA79F9B9-B1B8-4AE1-8BF4-F66BB728CD1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C71BB8"/>
    <w:multiLevelType w:val="multilevel"/>
    <w:tmpl w:val="477CEE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proofState w:spelling="clean" w:grammar="clean"/>
  <w:defaultTabStop w:val="720"/>
  <w:drawingGridHorizontalSpacing w:val="110"/>
  <w:displayHorizontalDrawingGridEvery w:val="2"/>
  <w:characterSpacingControl w:val="doNotCompress"/>
  <w:compat/>
  <w:rsids>
    <w:rsidRoot w:val="0032166C"/>
    <w:rsid w:val="0008731A"/>
    <w:rsid w:val="002A53EB"/>
    <w:rsid w:val="0032166C"/>
    <w:rsid w:val="0053507E"/>
    <w:rsid w:val="007C2D25"/>
    <w:rsid w:val="00E26291"/>
    <w:rsid w:val="00EB25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8731A"/>
  </w:style>
  <w:style w:type="paragraph" w:styleId="1">
    <w:name w:val="heading 1"/>
    <w:basedOn w:val="a"/>
    <w:next w:val="a"/>
    <w:rsid w:val="0008731A"/>
    <w:pPr>
      <w:keepNext/>
      <w:keepLines/>
      <w:spacing w:before="400" w:after="120"/>
      <w:outlineLvl w:val="0"/>
    </w:pPr>
    <w:rPr>
      <w:sz w:val="40"/>
      <w:szCs w:val="40"/>
    </w:rPr>
  </w:style>
  <w:style w:type="paragraph" w:styleId="2">
    <w:name w:val="heading 2"/>
    <w:basedOn w:val="a"/>
    <w:next w:val="a"/>
    <w:rsid w:val="0008731A"/>
    <w:pPr>
      <w:keepNext/>
      <w:keepLines/>
      <w:spacing w:before="360" w:after="120"/>
      <w:outlineLvl w:val="1"/>
    </w:pPr>
    <w:rPr>
      <w:sz w:val="32"/>
      <w:szCs w:val="32"/>
    </w:rPr>
  </w:style>
  <w:style w:type="paragraph" w:styleId="3">
    <w:name w:val="heading 3"/>
    <w:basedOn w:val="a"/>
    <w:next w:val="a"/>
    <w:rsid w:val="0008731A"/>
    <w:pPr>
      <w:keepNext/>
      <w:keepLines/>
      <w:spacing w:before="320" w:after="80"/>
      <w:outlineLvl w:val="2"/>
    </w:pPr>
    <w:rPr>
      <w:color w:val="434343"/>
      <w:sz w:val="28"/>
      <w:szCs w:val="28"/>
    </w:rPr>
  </w:style>
  <w:style w:type="paragraph" w:styleId="4">
    <w:name w:val="heading 4"/>
    <w:basedOn w:val="a"/>
    <w:next w:val="a"/>
    <w:rsid w:val="0008731A"/>
    <w:pPr>
      <w:keepNext/>
      <w:keepLines/>
      <w:spacing w:before="280" w:after="80"/>
      <w:outlineLvl w:val="3"/>
    </w:pPr>
    <w:rPr>
      <w:color w:val="666666"/>
      <w:sz w:val="24"/>
      <w:szCs w:val="24"/>
    </w:rPr>
  </w:style>
  <w:style w:type="paragraph" w:styleId="5">
    <w:name w:val="heading 5"/>
    <w:basedOn w:val="a"/>
    <w:next w:val="a"/>
    <w:rsid w:val="0008731A"/>
    <w:pPr>
      <w:keepNext/>
      <w:keepLines/>
      <w:spacing w:before="240" w:after="80"/>
      <w:outlineLvl w:val="4"/>
    </w:pPr>
    <w:rPr>
      <w:color w:val="666666"/>
    </w:rPr>
  </w:style>
  <w:style w:type="paragraph" w:styleId="6">
    <w:name w:val="heading 6"/>
    <w:basedOn w:val="a"/>
    <w:next w:val="a"/>
    <w:rsid w:val="0008731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08731A"/>
    <w:tblPr>
      <w:tblCellMar>
        <w:top w:w="100" w:type="dxa"/>
        <w:left w:w="100" w:type="dxa"/>
        <w:bottom w:w="100" w:type="dxa"/>
        <w:right w:w="100" w:type="dxa"/>
      </w:tblCellMar>
    </w:tblPr>
  </w:style>
  <w:style w:type="paragraph" w:styleId="a3">
    <w:name w:val="Title"/>
    <w:basedOn w:val="a"/>
    <w:next w:val="a"/>
    <w:rsid w:val="0008731A"/>
    <w:pPr>
      <w:keepNext/>
      <w:keepLines/>
      <w:spacing w:after="60"/>
    </w:pPr>
    <w:rPr>
      <w:sz w:val="52"/>
      <w:szCs w:val="52"/>
    </w:rPr>
  </w:style>
  <w:style w:type="paragraph" w:styleId="a4">
    <w:name w:val="Subtitle"/>
    <w:basedOn w:val="a"/>
    <w:next w:val="a"/>
    <w:rsid w:val="0008731A"/>
    <w:pPr>
      <w:keepNext/>
      <w:keepLines/>
      <w:spacing w:after="320"/>
    </w:pPr>
    <w:rPr>
      <w:color w:val="666666"/>
      <w:sz w:val="30"/>
      <w:szCs w:val="30"/>
    </w:rPr>
  </w:style>
  <w:style w:type="paragraph" w:styleId="a5">
    <w:name w:val="caption"/>
    <w:basedOn w:val="a"/>
    <w:next w:val="a"/>
    <w:uiPriority w:val="35"/>
    <w:unhideWhenUsed/>
    <w:qFormat/>
    <w:rsid w:val="00E26291"/>
    <w:pPr>
      <w:spacing w:after="200" w:line="240" w:lineRule="auto"/>
    </w:pPr>
    <w:rPr>
      <w:i/>
      <w:iCs/>
      <w:color w:val="1F497D" w:themeColor="text2"/>
      <w:sz w:val="18"/>
      <w:szCs w:val="18"/>
    </w:rPr>
  </w:style>
  <w:style w:type="paragraph" w:styleId="a6">
    <w:name w:val="Balloon Text"/>
    <w:basedOn w:val="a"/>
    <w:link w:val="a7"/>
    <w:uiPriority w:val="99"/>
    <w:semiHidden/>
    <w:unhideWhenUsed/>
    <w:rsid w:val="00EB259F"/>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EB259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shikina00@gmail.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337</Words>
  <Characters>1927</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Никита</dc:creator>
  <cp:lastModifiedBy>Tatiana Dubinina</cp:lastModifiedBy>
  <cp:revision>4</cp:revision>
  <dcterms:created xsi:type="dcterms:W3CDTF">2026-03-02T16:58:00Z</dcterms:created>
  <dcterms:modified xsi:type="dcterms:W3CDTF">2026-03-15T18:46:00Z</dcterms:modified>
</cp:coreProperties>
</file>