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8E2" w:rsidRDefault="00F55B3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Сравнительная оценка </w:t>
      </w:r>
      <w:proofErr w:type="spellStart"/>
      <w:r>
        <w:rPr>
          <w:b/>
          <w:color w:val="000000"/>
        </w:rPr>
        <w:t>а</w:t>
      </w:r>
      <w:r w:rsidR="002868E2" w:rsidRPr="002868E2">
        <w:rPr>
          <w:b/>
          <w:color w:val="000000"/>
        </w:rPr>
        <w:t>нтиокислительн</w:t>
      </w:r>
      <w:r>
        <w:rPr>
          <w:b/>
          <w:color w:val="000000"/>
        </w:rPr>
        <w:t>ой</w:t>
      </w:r>
      <w:proofErr w:type="spellEnd"/>
      <w:r w:rsidR="002868E2" w:rsidRPr="002868E2">
        <w:rPr>
          <w:b/>
          <w:color w:val="000000"/>
        </w:rPr>
        <w:t xml:space="preserve"> активност</w:t>
      </w:r>
      <w:r>
        <w:rPr>
          <w:b/>
          <w:color w:val="000000"/>
        </w:rPr>
        <w:t>и</w:t>
      </w:r>
      <w:r w:rsidR="002868E2" w:rsidRPr="002868E2">
        <w:rPr>
          <w:b/>
          <w:color w:val="000000"/>
        </w:rPr>
        <w:t xml:space="preserve"> </w:t>
      </w:r>
      <w:r w:rsidR="00F60BF9">
        <w:rPr>
          <w:b/>
          <w:color w:val="000000"/>
        </w:rPr>
        <w:t>амино</w:t>
      </w:r>
      <w:r>
        <w:rPr>
          <w:b/>
          <w:color w:val="000000"/>
        </w:rPr>
        <w:t xml:space="preserve">производных </w:t>
      </w:r>
      <w:r w:rsidR="00F60BF9">
        <w:rPr>
          <w:b/>
          <w:color w:val="000000"/>
        </w:rPr>
        <w:t>пирокатехин</w:t>
      </w:r>
      <w:r>
        <w:rPr>
          <w:b/>
          <w:color w:val="000000"/>
        </w:rPr>
        <w:t>ов</w:t>
      </w:r>
    </w:p>
    <w:p w:rsidR="002868E2" w:rsidRDefault="0028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Сорокин А.В.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 w:rsidR="00F60BF9">
        <w:rPr>
          <w:b/>
          <w:i/>
          <w:color w:val="000000"/>
        </w:rPr>
        <w:t>Илькова</w:t>
      </w:r>
      <w:proofErr w:type="spellEnd"/>
      <w:r w:rsidR="00F60BF9">
        <w:rPr>
          <w:b/>
          <w:i/>
          <w:color w:val="000000"/>
        </w:rPr>
        <w:t xml:space="preserve"> А.А., </w:t>
      </w:r>
      <w:proofErr w:type="spellStart"/>
      <w:r>
        <w:rPr>
          <w:b/>
          <w:i/>
          <w:color w:val="000000"/>
        </w:rPr>
        <w:t>Ильков</w:t>
      </w:r>
      <w:proofErr w:type="spellEnd"/>
      <w:r>
        <w:rPr>
          <w:b/>
          <w:i/>
          <w:color w:val="000000"/>
        </w:rPr>
        <w:t xml:space="preserve"> К.В.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868E2">
        <w:rPr>
          <w:i/>
          <w:color w:val="000000"/>
        </w:rPr>
        <w:t>2</w:t>
      </w:r>
      <w:r>
        <w:rPr>
          <w:i/>
          <w:color w:val="000000"/>
        </w:rPr>
        <w:t xml:space="preserve"> курс </w:t>
      </w:r>
      <w:r w:rsidR="002868E2">
        <w:rPr>
          <w:i/>
          <w:color w:val="000000"/>
        </w:rPr>
        <w:t>магистратуры</w:t>
      </w:r>
    </w:p>
    <w:p w:rsidR="00130241" w:rsidRPr="000E334E" w:rsidRDefault="002868E2" w:rsidP="002868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868E2">
        <w:rPr>
          <w:i/>
          <w:color w:val="000000"/>
        </w:rPr>
        <w:t>РГУ нефти и газа (НИУ) имени И.М. Губкина</w:t>
      </w:r>
      <w:r w:rsidR="00EB1F49">
        <w:rPr>
          <w:i/>
          <w:color w:val="000000"/>
        </w:rPr>
        <w:t>, Москва, Россия</w:t>
      </w:r>
    </w:p>
    <w:p w:rsidR="00130241" w:rsidRPr="003D09A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hyperlink r:id="rId6" w:history="1">
        <w:r w:rsidR="002868E2" w:rsidRPr="008F561F">
          <w:rPr>
            <w:rStyle w:val="a9"/>
            <w:i/>
            <w:lang w:val="en-US"/>
          </w:rPr>
          <w:t>alexsorokkin</w:t>
        </w:r>
        <w:r w:rsidR="002868E2" w:rsidRPr="008F561F">
          <w:rPr>
            <w:rStyle w:val="a9"/>
            <w:i/>
          </w:rPr>
          <w:t>@</w:t>
        </w:r>
        <w:proofErr w:type="spellStart"/>
        <w:r w:rsidR="002868E2" w:rsidRPr="008F561F">
          <w:rPr>
            <w:rStyle w:val="a9"/>
            <w:i/>
          </w:rPr>
          <w:t>yandex.ru</w:t>
        </w:r>
        <w:proofErr w:type="spellEnd"/>
      </w:hyperlink>
    </w:p>
    <w:p w:rsidR="00AA5ECA" w:rsidRDefault="004215BD" w:rsidP="008301A3">
      <w:pPr>
        <w:ind w:firstLine="397"/>
        <w:jc w:val="both"/>
        <w:rPr>
          <w:kern w:val="24"/>
        </w:rPr>
      </w:pPr>
      <w:r>
        <w:rPr>
          <w:kern w:val="24"/>
        </w:rPr>
        <w:t>О</w:t>
      </w:r>
      <w:r w:rsidR="00AA5ECA" w:rsidRPr="00AA5ECA">
        <w:rPr>
          <w:kern w:val="24"/>
        </w:rPr>
        <w:t>ценк</w:t>
      </w:r>
      <w:r>
        <w:rPr>
          <w:kern w:val="24"/>
        </w:rPr>
        <w:t>а</w:t>
      </w:r>
      <w:r w:rsidR="00AA5ECA" w:rsidRPr="00AA5ECA">
        <w:rPr>
          <w:kern w:val="24"/>
        </w:rPr>
        <w:t xml:space="preserve"> </w:t>
      </w:r>
      <w:proofErr w:type="spellStart"/>
      <w:r w:rsidR="00AA5ECA" w:rsidRPr="00AA5ECA">
        <w:rPr>
          <w:kern w:val="24"/>
        </w:rPr>
        <w:t>антиоксидантных</w:t>
      </w:r>
      <w:proofErr w:type="spellEnd"/>
      <w:r w:rsidR="00AA5ECA" w:rsidRPr="00AA5ECA">
        <w:rPr>
          <w:kern w:val="24"/>
        </w:rPr>
        <w:t xml:space="preserve"> свой</w:t>
      </w:r>
      <w:proofErr w:type="gramStart"/>
      <w:r w:rsidR="00AA5ECA" w:rsidRPr="00AA5ECA">
        <w:rPr>
          <w:kern w:val="24"/>
        </w:rPr>
        <w:t xml:space="preserve">ств </w:t>
      </w:r>
      <w:r>
        <w:rPr>
          <w:kern w:val="24"/>
        </w:rPr>
        <w:t>пр</w:t>
      </w:r>
      <w:proofErr w:type="gramEnd"/>
      <w:r>
        <w:rPr>
          <w:kern w:val="24"/>
        </w:rPr>
        <w:t>остранственно-затрудненных фенолов, имеющих заместители, также способны</w:t>
      </w:r>
      <w:r w:rsidR="008301A3">
        <w:rPr>
          <w:kern w:val="24"/>
        </w:rPr>
        <w:t>е</w:t>
      </w:r>
      <w:r>
        <w:rPr>
          <w:kern w:val="24"/>
        </w:rPr>
        <w:t xml:space="preserve"> </w:t>
      </w:r>
      <w:proofErr w:type="spellStart"/>
      <w:r>
        <w:rPr>
          <w:kern w:val="24"/>
        </w:rPr>
        <w:t>нейтр</w:t>
      </w:r>
      <w:r w:rsidR="00165E30">
        <w:rPr>
          <w:kern w:val="24"/>
        </w:rPr>
        <w:t>а</w:t>
      </w:r>
      <w:r>
        <w:rPr>
          <w:kern w:val="24"/>
        </w:rPr>
        <w:t>лизовывать</w:t>
      </w:r>
      <w:proofErr w:type="spellEnd"/>
      <w:r>
        <w:rPr>
          <w:kern w:val="24"/>
        </w:rPr>
        <w:t xml:space="preserve"> радикал</w:t>
      </w:r>
      <w:r w:rsidR="00F55B3A">
        <w:rPr>
          <w:kern w:val="24"/>
        </w:rPr>
        <w:t>ы</w:t>
      </w:r>
      <w:r>
        <w:rPr>
          <w:kern w:val="24"/>
        </w:rPr>
        <w:t>, представляет важную задачу</w:t>
      </w:r>
      <w:r w:rsidR="00165E30">
        <w:rPr>
          <w:kern w:val="24"/>
        </w:rPr>
        <w:t xml:space="preserve">, для которой помимо модельных экспериментов </w:t>
      </w:r>
      <w:r w:rsidR="00AA5ECA" w:rsidRPr="00AA5ECA">
        <w:rPr>
          <w:kern w:val="24"/>
        </w:rPr>
        <w:t>всё чаще используют квантово-химические методы</w:t>
      </w:r>
      <w:r w:rsidR="00165E30">
        <w:rPr>
          <w:kern w:val="24"/>
        </w:rPr>
        <w:t>.</w:t>
      </w:r>
      <w:r w:rsidR="00AA5ECA" w:rsidRPr="00AA5ECA">
        <w:rPr>
          <w:kern w:val="24"/>
        </w:rPr>
        <w:t xml:space="preserve"> </w:t>
      </w:r>
      <w:r w:rsidR="00165E30">
        <w:rPr>
          <w:kern w:val="24"/>
        </w:rPr>
        <w:t xml:space="preserve">Проведение </w:t>
      </w:r>
      <w:r w:rsidR="00165E30" w:rsidRPr="00165E30">
        <w:rPr>
          <w:i/>
          <w:iCs/>
          <w:kern w:val="24"/>
          <w:lang w:val="en-US"/>
        </w:rPr>
        <w:t>in</w:t>
      </w:r>
      <w:r w:rsidR="00165E30" w:rsidRPr="00165E30">
        <w:rPr>
          <w:i/>
          <w:iCs/>
          <w:kern w:val="24"/>
        </w:rPr>
        <w:t xml:space="preserve"> </w:t>
      </w:r>
      <w:r w:rsidR="00165E30" w:rsidRPr="00165E30">
        <w:rPr>
          <w:i/>
          <w:iCs/>
          <w:kern w:val="24"/>
          <w:lang w:val="en-US"/>
        </w:rPr>
        <w:t>vitro</w:t>
      </w:r>
      <w:r w:rsidR="00165E30" w:rsidRPr="00165E30">
        <w:rPr>
          <w:kern w:val="24"/>
        </w:rPr>
        <w:t xml:space="preserve"> </w:t>
      </w:r>
      <w:r w:rsidR="00165E30">
        <w:rPr>
          <w:kern w:val="24"/>
        </w:rPr>
        <w:t xml:space="preserve">и </w:t>
      </w:r>
      <w:r w:rsidR="00165E30" w:rsidRPr="00165E30">
        <w:rPr>
          <w:i/>
          <w:iCs/>
          <w:kern w:val="24"/>
          <w:lang w:val="en-US"/>
        </w:rPr>
        <w:t>in</w:t>
      </w:r>
      <w:r w:rsidR="00165E30" w:rsidRPr="00165E30">
        <w:rPr>
          <w:i/>
          <w:iCs/>
          <w:kern w:val="24"/>
        </w:rPr>
        <w:t xml:space="preserve"> </w:t>
      </w:r>
      <w:proofErr w:type="spellStart"/>
      <w:r w:rsidR="00165E30" w:rsidRPr="00165E30">
        <w:rPr>
          <w:i/>
          <w:iCs/>
          <w:kern w:val="24"/>
          <w:lang w:val="en-US"/>
        </w:rPr>
        <w:t>silico</w:t>
      </w:r>
      <w:proofErr w:type="spellEnd"/>
      <w:r w:rsidR="00165E30" w:rsidRPr="00165E30">
        <w:rPr>
          <w:kern w:val="24"/>
        </w:rPr>
        <w:t xml:space="preserve"> </w:t>
      </w:r>
      <w:r w:rsidR="00165E30">
        <w:rPr>
          <w:kern w:val="24"/>
        </w:rPr>
        <w:t xml:space="preserve">экспериментов </w:t>
      </w:r>
      <w:r w:rsidR="00AA5ECA" w:rsidRPr="00AA5ECA">
        <w:rPr>
          <w:kern w:val="24"/>
        </w:rPr>
        <w:t>позволя</w:t>
      </w:r>
      <w:r w:rsidR="00165E30">
        <w:rPr>
          <w:kern w:val="24"/>
        </w:rPr>
        <w:t>е</w:t>
      </w:r>
      <w:r w:rsidR="00AA5ECA" w:rsidRPr="00AA5ECA">
        <w:rPr>
          <w:kern w:val="24"/>
        </w:rPr>
        <w:t xml:space="preserve">т установить </w:t>
      </w:r>
      <w:r w:rsidR="00165E30">
        <w:rPr>
          <w:kern w:val="24"/>
        </w:rPr>
        <w:t>взаимо</w:t>
      </w:r>
      <w:r w:rsidR="00AA5ECA" w:rsidRPr="00AA5ECA">
        <w:rPr>
          <w:kern w:val="24"/>
        </w:rPr>
        <w:t xml:space="preserve">связь </w:t>
      </w:r>
      <w:r w:rsidR="00165E30">
        <w:rPr>
          <w:kern w:val="24"/>
        </w:rPr>
        <w:t xml:space="preserve">структуры соединения </w:t>
      </w:r>
      <w:r w:rsidR="00AA5ECA" w:rsidRPr="00AA5ECA">
        <w:rPr>
          <w:kern w:val="24"/>
        </w:rPr>
        <w:t>и способност</w:t>
      </w:r>
      <w:r w:rsidR="008301A3">
        <w:rPr>
          <w:kern w:val="24"/>
        </w:rPr>
        <w:t>и</w:t>
      </w:r>
      <w:r w:rsidR="00AA5ECA" w:rsidRPr="00AA5ECA">
        <w:rPr>
          <w:kern w:val="24"/>
        </w:rPr>
        <w:t xml:space="preserve"> подавлять радикальные процессы.</w:t>
      </w:r>
    </w:p>
    <w:p w:rsidR="00AA5ECA" w:rsidRDefault="00165E30" w:rsidP="008301A3">
      <w:pPr>
        <w:ind w:firstLine="397"/>
        <w:jc w:val="both"/>
      </w:pPr>
      <w:r>
        <w:t xml:space="preserve">Известно, что при оценке </w:t>
      </w:r>
      <w:proofErr w:type="spellStart"/>
      <w:r w:rsidR="00AA5ECA" w:rsidRPr="00AA5ECA">
        <w:t>антиоксидантной</w:t>
      </w:r>
      <w:proofErr w:type="spellEnd"/>
      <w:r w:rsidR="00AA5ECA" w:rsidRPr="00AA5ECA">
        <w:t xml:space="preserve"> активности фенолов </w:t>
      </w:r>
      <w:r>
        <w:t>в неполярных средах, где преобладает</w:t>
      </w:r>
      <w:r w:rsidR="00780701">
        <w:t xml:space="preserve"> </w:t>
      </w:r>
      <w:r w:rsidR="00780701">
        <w:rPr>
          <w:lang w:val="en-US"/>
        </w:rPr>
        <w:t>HAT</w:t>
      </w:r>
      <w:r w:rsidR="00780701" w:rsidRPr="00780701">
        <w:t>-</w:t>
      </w:r>
      <w:r w:rsidR="00780701">
        <w:t>механизм,</w:t>
      </w:r>
      <w:r>
        <w:t xml:space="preserve"> важна </w:t>
      </w:r>
      <w:r w:rsidR="00AA5ECA" w:rsidRPr="00AA5ECA">
        <w:t xml:space="preserve">энергия </w:t>
      </w:r>
      <w:r>
        <w:t xml:space="preserve">диссоциации </w:t>
      </w:r>
      <w:r w:rsidR="008301A3">
        <w:rPr>
          <w:color w:val="000000"/>
        </w:rPr>
        <w:t xml:space="preserve">связи </w:t>
      </w:r>
      <w:r w:rsidR="00AA5ECA" w:rsidRPr="00AA5ECA">
        <w:t xml:space="preserve">BDE, </w:t>
      </w:r>
      <w:r w:rsidR="00780701">
        <w:t xml:space="preserve">в случае </w:t>
      </w:r>
      <w:r w:rsidR="00780701" w:rsidRPr="00AA5ECA">
        <w:t>SPLET</w:t>
      </w:r>
      <w:r w:rsidR="00780701">
        <w:t xml:space="preserve">-механизма, реализуемого в полярных средах, важен </w:t>
      </w:r>
      <w:r w:rsidR="00AA5ECA" w:rsidRPr="00AA5ECA">
        <w:t>потенциал ионизации IP [1].</w:t>
      </w:r>
    </w:p>
    <w:p w:rsidR="00F55B3A" w:rsidRDefault="00F55B3A" w:rsidP="00F55B3A">
      <w:pPr>
        <w:jc w:val="center"/>
        <w:rPr>
          <w:noProof/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2305" cy="1193103"/>
            <wp:effectExtent l="1905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216" cy="1193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8E2" w:rsidRPr="00124595" w:rsidRDefault="00780701" w:rsidP="008301A3">
      <w:pPr>
        <w:ind w:firstLine="397"/>
        <w:jc w:val="both"/>
      </w:pPr>
      <w:r>
        <w:t xml:space="preserve">В данной работе </w:t>
      </w:r>
      <w:proofErr w:type="spellStart"/>
      <w:r>
        <w:t>а</w:t>
      </w:r>
      <w:r w:rsidR="004215BD">
        <w:t>зометины</w:t>
      </w:r>
      <w:proofErr w:type="spellEnd"/>
      <w:r w:rsidR="00124595" w:rsidRPr="00124595">
        <w:t xml:space="preserve"> </w:t>
      </w:r>
      <w:r w:rsidR="004215BD">
        <w:rPr>
          <w:b/>
          <w:bCs/>
        </w:rPr>
        <w:t>3,4</w:t>
      </w:r>
      <w:r w:rsidR="00124595" w:rsidRPr="00124595">
        <w:t xml:space="preserve"> были получены </w:t>
      </w:r>
      <w:proofErr w:type="gramStart"/>
      <w:r w:rsidR="00124595" w:rsidRPr="00124595">
        <w:t>из</w:t>
      </w:r>
      <w:proofErr w:type="gramEnd"/>
      <w:r w:rsidR="00124595" w:rsidRPr="00124595">
        <w:t xml:space="preserve"> пространственно-затруднённого </w:t>
      </w:r>
      <w:proofErr w:type="spellStart"/>
      <w:r w:rsidR="00124595" w:rsidRPr="00124595">
        <w:t>формил</w:t>
      </w:r>
      <w:r w:rsidR="004215BD">
        <w:t>пиро</w:t>
      </w:r>
      <w:r w:rsidR="00124595" w:rsidRPr="00124595">
        <w:t>катехина</w:t>
      </w:r>
      <w:proofErr w:type="spellEnd"/>
      <w:r w:rsidR="00124595" w:rsidRPr="00124595">
        <w:t xml:space="preserve"> </w:t>
      </w:r>
      <w:r w:rsidR="00124595" w:rsidRPr="00124595">
        <w:rPr>
          <w:b/>
          <w:bCs/>
        </w:rPr>
        <w:t>1</w:t>
      </w:r>
      <w:r w:rsidR="00124595" w:rsidRPr="00124595">
        <w:t xml:space="preserve"> </w:t>
      </w:r>
      <w:r w:rsidR="004215BD">
        <w:t xml:space="preserve">или его </w:t>
      </w:r>
      <w:proofErr w:type="spellStart"/>
      <w:r w:rsidR="004215BD">
        <w:t>диметоксипроизводного</w:t>
      </w:r>
      <w:proofErr w:type="spellEnd"/>
      <w:r w:rsidR="004215BD">
        <w:t xml:space="preserve"> </w:t>
      </w:r>
      <w:r w:rsidR="004215BD" w:rsidRPr="004215BD">
        <w:rPr>
          <w:b/>
          <w:bCs/>
        </w:rPr>
        <w:t>2</w:t>
      </w:r>
      <w:r w:rsidR="004215BD" w:rsidRPr="004215BD">
        <w:t xml:space="preserve"> [2]</w:t>
      </w:r>
      <w:r w:rsidR="00124595" w:rsidRPr="00124595">
        <w:t xml:space="preserve">. </w:t>
      </w:r>
      <w:r w:rsidR="004215BD">
        <w:t>Их в</w:t>
      </w:r>
      <w:r w:rsidR="00124595" w:rsidRPr="00124595">
        <w:t xml:space="preserve">осстановление </w:t>
      </w:r>
      <w:r w:rsidR="004215BD">
        <w:t xml:space="preserve">действием </w:t>
      </w:r>
      <w:r w:rsidR="00124595" w:rsidRPr="00124595">
        <w:t>NaBH</w:t>
      </w:r>
      <w:r w:rsidR="00124595" w:rsidRPr="00124595">
        <w:rPr>
          <w:vertAlign w:val="subscript"/>
        </w:rPr>
        <w:t>4</w:t>
      </w:r>
      <w:r w:rsidR="00124595" w:rsidRPr="00124595">
        <w:t xml:space="preserve"> приводит к получению аминов </w:t>
      </w:r>
      <w:r w:rsidR="004215BD">
        <w:rPr>
          <w:b/>
          <w:bCs/>
        </w:rPr>
        <w:t>5,6</w:t>
      </w:r>
      <w:r w:rsidR="00124595" w:rsidRPr="00124595">
        <w:t xml:space="preserve"> с хорошим выходом (</w:t>
      </w:r>
      <w:r w:rsidR="00124595" w:rsidRPr="004215BD">
        <w:t>75-83%</w:t>
      </w:r>
      <w:r w:rsidR="00124595" w:rsidRPr="00124595">
        <w:t>).</w:t>
      </w:r>
    </w:p>
    <w:p w:rsidR="009A0A06" w:rsidRPr="001E524D" w:rsidRDefault="00124595" w:rsidP="00830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kern w:val="24"/>
        </w:rPr>
      </w:pPr>
      <w:r w:rsidRPr="00124595">
        <w:rPr>
          <w:color w:val="000000"/>
        </w:rPr>
        <w:t>Для расчётов</w:t>
      </w:r>
      <w:r>
        <w:rPr>
          <w:color w:val="000000"/>
        </w:rPr>
        <w:t xml:space="preserve"> </w:t>
      </w:r>
      <w:r w:rsidR="00BE5EEB">
        <w:rPr>
          <w:color w:val="000000"/>
        </w:rPr>
        <w:t xml:space="preserve">энергии диссоциации связи и потенциала ионизации </w:t>
      </w:r>
      <w:r w:rsidRPr="00124595">
        <w:rPr>
          <w:color w:val="000000"/>
        </w:rPr>
        <w:t xml:space="preserve">был выбран функционал M062X, использована эмпирическая коррекция </w:t>
      </w:r>
      <w:proofErr w:type="spellStart"/>
      <w:r w:rsidRPr="00124595">
        <w:rPr>
          <w:color w:val="000000"/>
        </w:rPr>
        <w:t>Гримма</w:t>
      </w:r>
      <w:proofErr w:type="spellEnd"/>
      <w:r w:rsidRPr="00124595">
        <w:rPr>
          <w:color w:val="000000"/>
        </w:rPr>
        <w:t xml:space="preserve"> D3ZERO</w:t>
      </w:r>
      <w:r>
        <w:rPr>
          <w:color w:val="000000"/>
        </w:rPr>
        <w:t>, а</w:t>
      </w:r>
      <w:r w:rsidRPr="00124595">
        <w:rPr>
          <w:color w:val="000000"/>
        </w:rPr>
        <w:t xml:space="preserve"> базисн</w:t>
      </w:r>
      <w:r>
        <w:rPr>
          <w:color w:val="000000"/>
        </w:rPr>
        <w:t>ый</w:t>
      </w:r>
      <w:r w:rsidRPr="00124595">
        <w:rPr>
          <w:color w:val="000000"/>
        </w:rPr>
        <w:t xml:space="preserve"> набор </w:t>
      </w:r>
      <w:r>
        <w:rPr>
          <w:color w:val="000000"/>
        </w:rPr>
        <w:t>–</w:t>
      </w:r>
      <w:r w:rsidRPr="00124595">
        <w:rPr>
          <w:color w:val="000000"/>
        </w:rPr>
        <w:t xml:space="preserve"> def2-TZVP</w:t>
      </w:r>
      <w:r>
        <w:rPr>
          <w:color w:val="000000"/>
        </w:rPr>
        <w:t xml:space="preserve"> </w:t>
      </w:r>
      <w:r w:rsidR="00BE5EEB" w:rsidRPr="00124595">
        <w:rPr>
          <w:color w:val="000000"/>
        </w:rPr>
        <w:t>[</w:t>
      </w:r>
      <w:r w:rsidR="00BE5EEB" w:rsidRPr="004215BD">
        <w:rPr>
          <w:color w:val="000000"/>
        </w:rPr>
        <w:t>3</w:t>
      </w:r>
      <w:r w:rsidR="00BE5EEB" w:rsidRPr="00124595">
        <w:rPr>
          <w:color w:val="000000"/>
        </w:rPr>
        <w:t>]</w:t>
      </w:r>
      <w:r w:rsidR="00BE5EEB">
        <w:rPr>
          <w:color w:val="000000"/>
        </w:rPr>
        <w:t>.</w:t>
      </w:r>
    </w:p>
    <w:p w:rsidR="009A0A06" w:rsidRPr="001041CF" w:rsidRDefault="009A0A06" w:rsidP="001041CF">
      <w:pPr>
        <w:pStyle w:val="ab"/>
        <w:keepNext/>
        <w:spacing w:after="0"/>
        <w:rPr>
          <w:i w:val="0"/>
          <w:iCs w:val="0"/>
          <w:color w:val="auto"/>
          <w:sz w:val="24"/>
          <w:szCs w:val="24"/>
        </w:rPr>
      </w:pPr>
      <w:r w:rsidRPr="009A0A06">
        <w:rPr>
          <w:i w:val="0"/>
          <w:iCs w:val="0"/>
          <w:color w:val="auto"/>
          <w:sz w:val="24"/>
          <w:szCs w:val="24"/>
        </w:rPr>
        <w:t xml:space="preserve">Таблица </w:t>
      </w:r>
      <w:r w:rsidR="00426ED4" w:rsidRPr="009A0A06">
        <w:rPr>
          <w:i w:val="0"/>
          <w:iCs w:val="0"/>
          <w:color w:val="auto"/>
          <w:sz w:val="24"/>
          <w:szCs w:val="24"/>
        </w:rPr>
        <w:fldChar w:fldCharType="begin"/>
      </w:r>
      <w:r w:rsidRPr="009A0A06">
        <w:rPr>
          <w:i w:val="0"/>
          <w:iCs w:val="0"/>
          <w:color w:val="auto"/>
          <w:sz w:val="24"/>
          <w:szCs w:val="24"/>
        </w:rPr>
        <w:instrText xml:space="preserve"> SEQ Таблица \* ARABIC </w:instrText>
      </w:r>
      <w:r w:rsidR="00426ED4" w:rsidRPr="009A0A06">
        <w:rPr>
          <w:i w:val="0"/>
          <w:iCs w:val="0"/>
          <w:color w:val="auto"/>
          <w:sz w:val="24"/>
          <w:szCs w:val="24"/>
        </w:rPr>
        <w:fldChar w:fldCharType="separate"/>
      </w:r>
      <w:r w:rsidRPr="009A0A06">
        <w:rPr>
          <w:i w:val="0"/>
          <w:iCs w:val="0"/>
          <w:noProof/>
          <w:color w:val="auto"/>
          <w:sz w:val="24"/>
          <w:szCs w:val="24"/>
        </w:rPr>
        <w:t>1</w:t>
      </w:r>
      <w:r w:rsidR="00426ED4" w:rsidRPr="009A0A06">
        <w:rPr>
          <w:i w:val="0"/>
          <w:iCs w:val="0"/>
          <w:color w:val="auto"/>
          <w:sz w:val="24"/>
          <w:szCs w:val="24"/>
        </w:rPr>
        <w:fldChar w:fldCharType="end"/>
      </w:r>
      <w:r w:rsidRPr="00781D46">
        <w:rPr>
          <w:i w:val="0"/>
          <w:iCs w:val="0"/>
          <w:color w:val="auto"/>
          <w:sz w:val="24"/>
          <w:szCs w:val="24"/>
        </w:rPr>
        <w:t xml:space="preserve">. </w:t>
      </w:r>
      <w:r w:rsidR="001041CF">
        <w:rPr>
          <w:i w:val="0"/>
          <w:iCs w:val="0"/>
          <w:color w:val="auto"/>
          <w:sz w:val="24"/>
          <w:szCs w:val="24"/>
        </w:rPr>
        <w:t>Значения</w:t>
      </w:r>
      <w:r w:rsidRPr="001041CF">
        <w:rPr>
          <w:i w:val="0"/>
          <w:iCs w:val="0"/>
          <w:color w:val="auto"/>
          <w:sz w:val="24"/>
          <w:szCs w:val="24"/>
        </w:rPr>
        <w:t xml:space="preserve"> </w:t>
      </w:r>
      <w:r w:rsidR="001041CF">
        <w:rPr>
          <w:i w:val="0"/>
          <w:iCs w:val="0"/>
          <w:color w:val="auto"/>
          <w:sz w:val="24"/>
          <w:szCs w:val="24"/>
        </w:rPr>
        <w:t>энергии диссоциации связи и потенциала ионизации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0"/>
        <w:gridCol w:w="875"/>
        <w:gridCol w:w="875"/>
        <w:gridCol w:w="876"/>
        <w:gridCol w:w="875"/>
        <w:gridCol w:w="876"/>
        <w:gridCol w:w="875"/>
        <w:gridCol w:w="875"/>
        <w:gridCol w:w="876"/>
        <w:gridCol w:w="875"/>
        <w:gridCol w:w="876"/>
      </w:tblGrid>
      <w:tr w:rsidR="001041CF" w:rsidRPr="002163C1" w:rsidTr="0048396D">
        <w:trPr>
          <w:trHeight w:val="300"/>
          <w:jc w:val="center"/>
        </w:trPr>
        <w:tc>
          <w:tcPr>
            <w:tcW w:w="420" w:type="dxa"/>
            <w:vMerge w:val="restart"/>
            <w:shd w:val="clear" w:color="auto" w:fill="auto"/>
            <w:noWrap/>
            <w:vAlign w:val="center"/>
          </w:tcPr>
          <w:p w:rsidR="001041CF" w:rsidRPr="00DE4F33" w:rsidRDefault="001041CF" w:rsidP="00BE5EEB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5252" w:type="dxa"/>
            <w:gridSpan w:val="6"/>
            <w:shd w:val="clear" w:color="auto" w:fill="auto"/>
            <w:noWrap/>
            <w:vAlign w:val="center"/>
          </w:tcPr>
          <w:p w:rsidR="001041CF" w:rsidRPr="00DE4F33" w:rsidRDefault="001041CF" w:rsidP="00BE5EEB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  <w:lang w:val="en-US"/>
              </w:rPr>
              <w:t xml:space="preserve">BDE, </w:t>
            </w:r>
            <w:r w:rsidRPr="00DE4F33">
              <w:rPr>
                <w:color w:val="000000"/>
                <w:sz w:val="22"/>
                <w:szCs w:val="22"/>
              </w:rPr>
              <w:t>ккал·моль</w:t>
            </w:r>
            <w:r w:rsidRPr="00DE4F33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3502" w:type="dxa"/>
            <w:gridSpan w:val="4"/>
            <w:vAlign w:val="center"/>
          </w:tcPr>
          <w:p w:rsidR="001041CF" w:rsidRPr="00DE4F33" w:rsidRDefault="001041CF" w:rsidP="00BE5EEB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  <w:lang w:val="en-US"/>
              </w:rPr>
              <w:t xml:space="preserve">IP, </w:t>
            </w:r>
            <w:r w:rsidRPr="00DE4F33">
              <w:rPr>
                <w:color w:val="000000"/>
                <w:sz w:val="22"/>
                <w:szCs w:val="22"/>
              </w:rPr>
              <w:t>ккал·моль</w:t>
            </w:r>
            <w:r w:rsidRPr="00DE4F33">
              <w:rPr>
                <w:color w:val="000000"/>
                <w:sz w:val="22"/>
                <w:szCs w:val="22"/>
                <w:vertAlign w:val="superscript"/>
              </w:rPr>
              <w:t>-1</w:t>
            </w:r>
          </w:p>
        </w:tc>
      </w:tr>
      <w:tr w:rsidR="001041CF" w:rsidRPr="002163C1" w:rsidTr="00DB32F8">
        <w:trPr>
          <w:trHeight w:val="300"/>
          <w:jc w:val="center"/>
        </w:trPr>
        <w:tc>
          <w:tcPr>
            <w:tcW w:w="420" w:type="dxa"/>
            <w:vMerge/>
            <w:shd w:val="clear" w:color="auto" w:fill="auto"/>
            <w:noWrap/>
            <w:vAlign w:val="center"/>
          </w:tcPr>
          <w:p w:rsidR="001041CF" w:rsidRPr="00DE4F33" w:rsidRDefault="001041CF" w:rsidP="00BE5EEB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50" w:type="dxa"/>
            <w:gridSpan w:val="2"/>
            <w:shd w:val="clear" w:color="auto" w:fill="auto"/>
            <w:noWrap/>
            <w:vAlign w:val="center"/>
          </w:tcPr>
          <w:p w:rsidR="001041CF" w:rsidRPr="00DE4F33" w:rsidRDefault="001041CF" w:rsidP="00BE5E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627" w:type="dxa"/>
            <w:gridSpan w:val="3"/>
            <w:shd w:val="clear" w:color="auto" w:fill="auto"/>
            <w:noWrap/>
            <w:vAlign w:val="center"/>
          </w:tcPr>
          <w:p w:rsidR="001041CF" w:rsidRPr="00DE4F33" w:rsidRDefault="001041CF" w:rsidP="00BE5E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BE5EEB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875" w:type="dxa"/>
            <w:vMerge w:val="restart"/>
            <w:vAlign w:val="center"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876" w:type="dxa"/>
            <w:vMerge w:val="restart"/>
            <w:vAlign w:val="center"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875" w:type="dxa"/>
            <w:vMerge w:val="restart"/>
            <w:vAlign w:val="center"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876" w:type="dxa"/>
            <w:vMerge w:val="restart"/>
            <w:vAlign w:val="center"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</w:tr>
      <w:tr w:rsidR="001041CF" w:rsidRPr="002163C1" w:rsidTr="00BE5EEB">
        <w:trPr>
          <w:trHeight w:val="300"/>
          <w:jc w:val="center"/>
        </w:trPr>
        <w:tc>
          <w:tcPr>
            <w:tcW w:w="420" w:type="dxa"/>
            <w:vMerge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color w:val="000000"/>
                <w:sz w:val="22"/>
                <w:szCs w:val="22"/>
              </w:rPr>
              <w:t>2-</w:t>
            </w:r>
            <w:r w:rsidRPr="00DE4F33">
              <w:rPr>
                <w:color w:val="000000"/>
                <w:sz w:val="22"/>
                <w:szCs w:val="22"/>
                <w:lang w:val="en-US"/>
              </w:rPr>
              <w:t>OH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color w:val="000000"/>
                <w:sz w:val="22"/>
                <w:szCs w:val="22"/>
                <w:lang w:val="en-US"/>
              </w:rPr>
              <w:t>3-OH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2-</w:t>
            </w:r>
            <w:r w:rsidRPr="00DE4F33">
              <w:rPr>
                <w:color w:val="000000"/>
                <w:sz w:val="22"/>
                <w:szCs w:val="22"/>
                <w:lang w:val="en-US"/>
              </w:rPr>
              <w:t>OH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  <w:lang w:val="en-US"/>
              </w:rPr>
              <w:t>3-OH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color w:val="000000"/>
                <w:sz w:val="22"/>
                <w:szCs w:val="22"/>
                <w:lang w:val="en-US"/>
              </w:rPr>
              <w:t>NH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color w:val="000000"/>
                <w:sz w:val="22"/>
                <w:szCs w:val="22"/>
                <w:lang w:val="en-US"/>
              </w:rPr>
              <w:t>NH</w:t>
            </w:r>
          </w:p>
        </w:tc>
        <w:tc>
          <w:tcPr>
            <w:tcW w:w="875" w:type="dxa"/>
            <w:vMerge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vMerge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5" w:type="dxa"/>
            <w:vMerge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876" w:type="dxa"/>
            <w:vMerge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1041CF" w:rsidRPr="002163C1" w:rsidTr="00BE5EEB">
        <w:trPr>
          <w:trHeight w:val="300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85,5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86,4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71,7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78,0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175,5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165,44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181,9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167,9</w:t>
            </w:r>
          </w:p>
        </w:tc>
      </w:tr>
      <w:tr w:rsidR="001041CF" w:rsidRPr="002163C1" w:rsidTr="00BE5EEB">
        <w:trPr>
          <w:trHeight w:val="111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74,6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75,7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86,3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176,7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178,1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183,4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172,1</w:t>
            </w:r>
          </w:p>
        </w:tc>
      </w:tr>
      <w:tr w:rsidR="001041CF" w:rsidRPr="002163C1" w:rsidTr="00BE5EEB">
        <w:trPr>
          <w:trHeight w:val="74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c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83,6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84,5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71,0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71,9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79,9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87,2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178,7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171,04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185,3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173,4</w:t>
            </w:r>
          </w:p>
        </w:tc>
      </w:tr>
      <w:tr w:rsidR="001041CF" w:rsidRPr="002163C1" w:rsidTr="00BE5EEB">
        <w:trPr>
          <w:trHeight w:val="74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d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72,9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71,6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72,3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91,2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187,6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182,58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193,8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184,4</w:t>
            </w:r>
          </w:p>
        </w:tc>
      </w:tr>
      <w:tr w:rsidR="001041CF" w:rsidRPr="002163C1" w:rsidTr="00BE5EEB">
        <w:trPr>
          <w:trHeight w:val="74"/>
          <w:jc w:val="center"/>
        </w:trPr>
        <w:tc>
          <w:tcPr>
            <w:tcW w:w="420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e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84,9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85,8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71,7</w:t>
            </w:r>
          </w:p>
        </w:tc>
        <w:tc>
          <w:tcPr>
            <w:tcW w:w="876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75,3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83,5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175,4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163,19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179,1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165,5</w:t>
            </w:r>
          </w:p>
        </w:tc>
      </w:tr>
      <w:tr w:rsidR="001041CF" w:rsidRPr="002163C1" w:rsidTr="00BE5EEB">
        <w:trPr>
          <w:trHeight w:val="315"/>
          <w:jc w:val="center"/>
        </w:trPr>
        <w:tc>
          <w:tcPr>
            <w:tcW w:w="420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DE4F33">
              <w:rPr>
                <w:b/>
                <w:bCs/>
                <w:color w:val="000000"/>
                <w:sz w:val="22"/>
                <w:szCs w:val="22"/>
                <w:lang w:val="en-US"/>
              </w:rPr>
              <w:t>f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84,8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85,7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71,1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71,5</w:t>
            </w:r>
          </w:p>
        </w:tc>
        <w:tc>
          <w:tcPr>
            <w:tcW w:w="876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82,0</w:t>
            </w:r>
          </w:p>
        </w:tc>
        <w:tc>
          <w:tcPr>
            <w:tcW w:w="875" w:type="dxa"/>
            <w:shd w:val="clear" w:color="auto" w:fill="auto"/>
            <w:noWrap/>
            <w:vAlign w:val="center"/>
            <w:hideMark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88,8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178,3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172,55</w:t>
            </w:r>
          </w:p>
        </w:tc>
        <w:tc>
          <w:tcPr>
            <w:tcW w:w="875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184,9</w:t>
            </w:r>
          </w:p>
        </w:tc>
        <w:tc>
          <w:tcPr>
            <w:tcW w:w="876" w:type="dxa"/>
            <w:vAlign w:val="center"/>
          </w:tcPr>
          <w:p w:rsidR="001041CF" w:rsidRPr="00DE4F33" w:rsidRDefault="001041CF" w:rsidP="001041CF">
            <w:pPr>
              <w:jc w:val="center"/>
              <w:rPr>
                <w:color w:val="000000"/>
                <w:sz w:val="22"/>
                <w:szCs w:val="22"/>
              </w:rPr>
            </w:pPr>
            <w:r w:rsidRPr="00DE4F33">
              <w:rPr>
                <w:color w:val="000000"/>
                <w:sz w:val="22"/>
                <w:szCs w:val="22"/>
              </w:rPr>
              <w:t>172,3</w:t>
            </w:r>
          </w:p>
        </w:tc>
      </w:tr>
    </w:tbl>
    <w:p w:rsidR="001E524D" w:rsidRPr="001E524D" w:rsidRDefault="001E524D" w:rsidP="008301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Cs/>
          <w:kern w:val="24"/>
        </w:rPr>
      </w:pPr>
      <w:r w:rsidRPr="009A0A06">
        <w:rPr>
          <w:bCs/>
          <w:kern w:val="24"/>
        </w:rPr>
        <w:t xml:space="preserve">Оценку </w:t>
      </w:r>
      <w:proofErr w:type="spellStart"/>
      <w:r w:rsidRPr="009A0A06">
        <w:rPr>
          <w:bCs/>
          <w:kern w:val="24"/>
        </w:rPr>
        <w:t>антиокислительной</w:t>
      </w:r>
      <w:proofErr w:type="spellEnd"/>
      <w:r w:rsidRPr="009A0A06">
        <w:rPr>
          <w:bCs/>
          <w:kern w:val="24"/>
        </w:rPr>
        <w:t xml:space="preserve"> активности </w:t>
      </w:r>
      <w:r w:rsidR="000D1FB1" w:rsidRPr="00165E30">
        <w:rPr>
          <w:i/>
          <w:iCs/>
          <w:kern w:val="24"/>
          <w:lang w:val="en-US"/>
        </w:rPr>
        <w:t>in</w:t>
      </w:r>
      <w:r w:rsidR="000D1FB1" w:rsidRPr="00165E30">
        <w:rPr>
          <w:i/>
          <w:iCs/>
          <w:kern w:val="24"/>
        </w:rPr>
        <w:t xml:space="preserve"> </w:t>
      </w:r>
      <w:r w:rsidR="000D1FB1" w:rsidRPr="00165E30">
        <w:rPr>
          <w:i/>
          <w:iCs/>
          <w:kern w:val="24"/>
          <w:lang w:val="en-US"/>
        </w:rPr>
        <w:t>vitro</w:t>
      </w:r>
      <w:r w:rsidR="000D1FB1" w:rsidRPr="00165E30">
        <w:rPr>
          <w:kern w:val="24"/>
        </w:rPr>
        <w:t xml:space="preserve"> </w:t>
      </w:r>
      <w:r w:rsidRPr="009A0A06">
        <w:rPr>
          <w:bCs/>
          <w:kern w:val="24"/>
        </w:rPr>
        <w:t xml:space="preserve">проводили методом ABTS. </w:t>
      </w:r>
      <w:r w:rsidR="00F60BF9">
        <w:rPr>
          <w:bCs/>
          <w:kern w:val="24"/>
        </w:rPr>
        <w:t>При с</w:t>
      </w:r>
      <w:r w:rsidRPr="009A0A06">
        <w:rPr>
          <w:bCs/>
          <w:kern w:val="24"/>
        </w:rPr>
        <w:t>равн</w:t>
      </w:r>
      <w:r w:rsidR="00F60BF9">
        <w:rPr>
          <w:bCs/>
          <w:kern w:val="24"/>
        </w:rPr>
        <w:t>ении</w:t>
      </w:r>
      <w:r w:rsidRPr="009A0A06">
        <w:rPr>
          <w:bCs/>
          <w:kern w:val="24"/>
        </w:rPr>
        <w:t xml:space="preserve"> результат</w:t>
      </w:r>
      <w:r w:rsidR="00F60BF9">
        <w:rPr>
          <w:bCs/>
          <w:kern w:val="24"/>
        </w:rPr>
        <w:t>ов</w:t>
      </w:r>
      <w:r w:rsidRPr="009A0A06">
        <w:rPr>
          <w:bCs/>
          <w:kern w:val="24"/>
        </w:rPr>
        <w:t xml:space="preserve"> ABTS с результатами расчётов было отмечено, что </w:t>
      </w:r>
      <w:proofErr w:type="spellStart"/>
      <w:r w:rsidRPr="009A0A06">
        <w:rPr>
          <w:bCs/>
          <w:kern w:val="24"/>
        </w:rPr>
        <w:t>имин</w:t>
      </w:r>
      <w:proofErr w:type="spellEnd"/>
      <w:r w:rsidR="001041CF">
        <w:rPr>
          <w:bCs/>
          <w:kern w:val="24"/>
        </w:rPr>
        <w:t xml:space="preserve"> </w:t>
      </w:r>
      <w:r w:rsidR="001041CF" w:rsidRPr="001041CF">
        <w:rPr>
          <w:b/>
          <w:kern w:val="24"/>
        </w:rPr>
        <w:t>3</w:t>
      </w:r>
      <w:r w:rsidR="001041CF" w:rsidRPr="001041CF">
        <w:rPr>
          <w:b/>
          <w:kern w:val="24"/>
          <w:lang w:val="en-US"/>
        </w:rPr>
        <w:t>d</w:t>
      </w:r>
      <w:r w:rsidR="001041CF" w:rsidRPr="001041CF">
        <w:rPr>
          <w:bCs/>
          <w:kern w:val="24"/>
        </w:rPr>
        <w:t xml:space="preserve">, </w:t>
      </w:r>
      <w:r w:rsidR="001041CF">
        <w:rPr>
          <w:bCs/>
          <w:kern w:val="24"/>
        </w:rPr>
        <w:t xml:space="preserve">содержащий </w:t>
      </w:r>
      <w:r w:rsidRPr="001E524D">
        <w:rPr>
          <w:bCs/>
          <w:i/>
          <w:iCs/>
          <w:kern w:val="24"/>
        </w:rPr>
        <w:t>п</w:t>
      </w:r>
      <w:r w:rsidRPr="009A0A06">
        <w:rPr>
          <w:bCs/>
          <w:kern w:val="24"/>
        </w:rPr>
        <w:t>-NO</w:t>
      </w:r>
      <w:r w:rsidRPr="001E524D">
        <w:rPr>
          <w:bCs/>
          <w:kern w:val="24"/>
          <w:vertAlign w:val="subscript"/>
        </w:rPr>
        <w:t>2</w:t>
      </w:r>
      <w:r w:rsidR="001041CF">
        <w:rPr>
          <w:bCs/>
          <w:kern w:val="24"/>
        </w:rPr>
        <w:t>-</w:t>
      </w:r>
      <w:r w:rsidRPr="009A0A06">
        <w:rPr>
          <w:bCs/>
          <w:kern w:val="24"/>
        </w:rPr>
        <w:t>групп</w:t>
      </w:r>
      <w:r w:rsidR="001041CF">
        <w:rPr>
          <w:bCs/>
          <w:kern w:val="24"/>
        </w:rPr>
        <w:t>у</w:t>
      </w:r>
      <w:r w:rsidR="00F60BF9">
        <w:rPr>
          <w:bCs/>
          <w:kern w:val="24"/>
        </w:rPr>
        <w:t xml:space="preserve"> и</w:t>
      </w:r>
      <w:r w:rsidRPr="009A0A06">
        <w:rPr>
          <w:bCs/>
          <w:kern w:val="24"/>
        </w:rPr>
        <w:t xml:space="preserve"> показавший лучший результат BDE по расчётам, является одним из лидирующих по тесту ABTS. </w:t>
      </w:r>
      <w:r w:rsidR="000D1FB1">
        <w:rPr>
          <w:bCs/>
          <w:kern w:val="24"/>
        </w:rPr>
        <w:t>П</w:t>
      </w:r>
      <w:r w:rsidR="000D1FB1" w:rsidRPr="009A0A06">
        <w:rPr>
          <w:bCs/>
          <w:kern w:val="24"/>
        </w:rPr>
        <w:t xml:space="preserve">рямая корреляция </w:t>
      </w:r>
      <w:r w:rsidR="00BE5EEB">
        <w:rPr>
          <w:bCs/>
          <w:kern w:val="24"/>
        </w:rPr>
        <w:t xml:space="preserve">найдена между </w:t>
      </w:r>
      <w:r w:rsidR="00AB19C1">
        <w:rPr>
          <w:bCs/>
          <w:kern w:val="24"/>
        </w:rPr>
        <w:t xml:space="preserve">значениями </w:t>
      </w:r>
      <w:r w:rsidR="00BE5EEB">
        <w:rPr>
          <w:bCs/>
          <w:kern w:val="24"/>
          <w:lang w:val="en-US"/>
        </w:rPr>
        <w:t>BDE</w:t>
      </w:r>
      <w:r w:rsidR="00BE5EEB" w:rsidRPr="00BE5EEB">
        <w:rPr>
          <w:bCs/>
          <w:kern w:val="24"/>
        </w:rPr>
        <w:t xml:space="preserve"> </w:t>
      </w:r>
      <w:r w:rsidR="00AB19C1">
        <w:rPr>
          <w:bCs/>
          <w:kern w:val="24"/>
        </w:rPr>
        <w:t xml:space="preserve">и </w:t>
      </w:r>
      <w:r w:rsidR="00AB19C1" w:rsidRPr="009A0A06">
        <w:rPr>
          <w:bCs/>
          <w:kern w:val="24"/>
        </w:rPr>
        <w:t>результа</w:t>
      </w:r>
      <w:r w:rsidR="00F60BF9">
        <w:rPr>
          <w:bCs/>
          <w:kern w:val="24"/>
        </w:rPr>
        <w:t>та</w:t>
      </w:r>
      <w:r w:rsidR="00AB19C1">
        <w:rPr>
          <w:bCs/>
          <w:kern w:val="24"/>
        </w:rPr>
        <w:t>ми</w:t>
      </w:r>
      <w:r w:rsidR="00AB19C1" w:rsidRPr="009A0A06">
        <w:rPr>
          <w:bCs/>
          <w:kern w:val="24"/>
        </w:rPr>
        <w:t xml:space="preserve"> ABTS</w:t>
      </w:r>
      <w:r w:rsidR="00AB19C1">
        <w:rPr>
          <w:bCs/>
          <w:kern w:val="24"/>
        </w:rPr>
        <w:t>-теста для</w:t>
      </w:r>
      <w:r w:rsidR="00AB19C1" w:rsidRPr="009A0A06">
        <w:rPr>
          <w:bCs/>
          <w:kern w:val="24"/>
        </w:rPr>
        <w:t xml:space="preserve"> </w:t>
      </w:r>
      <w:r w:rsidR="00BE5EEB">
        <w:rPr>
          <w:bCs/>
          <w:kern w:val="24"/>
        </w:rPr>
        <w:t xml:space="preserve">ряда </w:t>
      </w:r>
      <w:r w:rsidR="00BE5EEB" w:rsidRPr="00AB19C1">
        <w:rPr>
          <w:b/>
          <w:kern w:val="24"/>
        </w:rPr>
        <w:t>6</w:t>
      </w:r>
      <w:r w:rsidR="00BE5EEB" w:rsidRPr="00AB19C1">
        <w:rPr>
          <w:b/>
          <w:kern w:val="24"/>
          <w:lang w:val="en-US"/>
        </w:rPr>
        <w:t>a</w:t>
      </w:r>
      <w:r w:rsidR="00BE5EEB" w:rsidRPr="00AB19C1">
        <w:rPr>
          <w:b/>
          <w:kern w:val="24"/>
        </w:rPr>
        <w:t>-</w:t>
      </w:r>
      <w:r w:rsidR="00BE5EEB" w:rsidRPr="00AB19C1">
        <w:rPr>
          <w:b/>
          <w:kern w:val="24"/>
          <w:lang w:val="en-US"/>
        </w:rPr>
        <w:t>f</w:t>
      </w:r>
      <w:r w:rsidR="00AB19C1">
        <w:rPr>
          <w:bCs/>
          <w:kern w:val="24"/>
        </w:rPr>
        <w:t>.</w:t>
      </w:r>
    </w:p>
    <w:p w:rsidR="00130241" w:rsidRPr="00DE4F3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116478" w:rsidRPr="004215BD" w:rsidRDefault="004215BD" w:rsidP="004215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4215BD">
        <w:rPr>
          <w:color w:val="000000"/>
          <w:lang w:val="fr-FR"/>
        </w:rPr>
        <w:t>1.</w:t>
      </w:r>
      <w:r>
        <w:rPr>
          <w:color w:val="000000"/>
          <w:lang w:val="fr-FR"/>
        </w:rPr>
        <w:t xml:space="preserve"> </w:t>
      </w:r>
      <w:r w:rsidR="001E524D" w:rsidRPr="004215BD">
        <w:rPr>
          <w:color w:val="000000"/>
          <w:lang w:val="fr-FR"/>
        </w:rPr>
        <w:t xml:space="preserve">Shang Y.-J. et al. </w:t>
      </w:r>
      <w:r w:rsidR="001E524D" w:rsidRPr="004215BD">
        <w:rPr>
          <w:color w:val="000000"/>
          <w:lang w:val="en-US"/>
        </w:rPr>
        <w:t xml:space="preserve">Radical-scavenging activity and mechanism of </w:t>
      </w:r>
      <w:proofErr w:type="spellStart"/>
      <w:r w:rsidR="001E524D" w:rsidRPr="004215BD">
        <w:rPr>
          <w:color w:val="000000"/>
          <w:lang w:val="en-US"/>
        </w:rPr>
        <w:t>resveratrol</w:t>
      </w:r>
      <w:proofErr w:type="spellEnd"/>
      <w:r w:rsidR="001E524D" w:rsidRPr="004215BD">
        <w:rPr>
          <w:color w:val="000000"/>
          <w:lang w:val="en-US"/>
        </w:rPr>
        <w:t xml:space="preserve">-oriented analogues: Influence of the solvent, radical, and substitution // J. Org. Chem. 2009. </w:t>
      </w:r>
      <w:proofErr w:type="gramStart"/>
      <w:r w:rsidR="001E524D" w:rsidRPr="004215BD">
        <w:rPr>
          <w:color w:val="000000"/>
          <w:lang w:val="en-US"/>
        </w:rPr>
        <w:t>Vol. 74</w:t>
      </w:r>
      <w:r w:rsidR="000D1FB1" w:rsidRPr="000D1FB1">
        <w:rPr>
          <w:color w:val="000000"/>
          <w:lang w:val="en-US"/>
        </w:rPr>
        <w:t>.</w:t>
      </w:r>
      <w:proofErr w:type="gramEnd"/>
      <w:r w:rsidR="001E524D" w:rsidRPr="004215BD">
        <w:rPr>
          <w:color w:val="000000"/>
          <w:lang w:val="en-US"/>
        </w:rPr>
        <w:t xml:space="preserve"> </w:t>
      </w:r>
      <w:proofErr w:type="gramStart"/>
      <w:r w:rsidR="001E524D" w:rsidRPr="004215BD">
        <w:rPr>
          <w:color w:val="000000"/>
          <w:lang w:val="en-US"/>
        </w:rPr>
        <w:t>№ 14.</w:t>
      </w:r>
      <w:proofErr w:type="gramEnd"/>
      <w:r w:rsidR="001E524D" w:rsidRPr="004215BD">
        <w:rPr>
          <w:color w:val="000000"/>
          <w:lang w:val="en-US"/>
        </w:rPr>
        <w:t xml:space="preserve"> P. 5025-5031.</w:t>
      </w:r>
    </w:p>
    <w:p w:rsidR="004215BD" w:rsidRPr="004215BD" w:rsidRDefault="004215BD" w:rsidP="004215BD">
      <w:pPr>
        <w:jc w:val="both"/>
        <w:rPr>
          <w:lang w:val="en-US"/>
        </w:rPr>
      </w:pPr>
      <w:r w:rsidRPr="000D1FB1">
        <w:rPr>
          <w:lang w:val="fr-FR"/>
        </w:rPr>
        <w:t>2. Astaf’eva T. V.</w:t>
      </w:r>
      <w:r w:rsidR="000D1FB1" w:rsidRPr="000D1FB1">
        <w:rPr>
          <w:lang w:val="fr-FR"/>
        </w:rPr>
        <w:t xml:space="preserve"> </w:t>
      </w:r>
      <w:r w:rsidR="000D1FB1" w:rsidRPr="004215BD">
        <w:rPr>
          <w:color w:val="000000"/>
          <w:lang w:val="fr-FR"/>
        </w:rPr>
        <w:t xml:space="preserve">et al. </w:t>
      </w:r>
      <w:proofErr w:type="spellStart"/>
      <w:r w:rsidRPr="004215BD">
        <w:rPr>
          <w:lang w:val="en-US"/>
        </w:rPr>
        <w:t>Imine</w:t>
      </w:r>
      <w:proofErr w:type="spellEnd"/>
      <w:r w:rsidRPr="004215BD">
        <w:rPr>
          <w:lang w:val="en-US"/>
        </w:rPr>
        <w:t xml:space="preserve">-Based </w:t>
      </w:r>
      <w:proofErr w:type="spellStart"/>
      <w:r w:rsidRPr="004215BD">
        <w:rPr>
          <w:lang w:val="en-US"/>
        </w:rPr>
        <w:t>Catechols</w:t>
      </w:r>
      <w:proofErr w:type="spellEnd"/>
      <w:r w:rsidRPr="004215BD">
        <w:rPr>
          <w:lang w:val="en-US"/>
        </w:rPr>
        <w:t xml:space="preserve"> and o-</w:t>
      </w:r>
      <w:proofErr w:type="spellStart"/>
      <w:r w:rsidRPr="004215BD">
        <w:rPr>
          <w:lang w:val="en-US"/>
        </w:rPr>
        <w:t>Benzoquinones</w:t>
      </w:r>
      <w:proofErr w:type="spellEnd"/>
      <w:r w:rsidRPr="004215BD">
        <w:rPr>
          <w:lang w:val="en-US"/>
        </w:rPr>
        <w:t xml:space="preserve">: Synthesis, Structure, and Features of </w:t>
      </w:r>
      <w:proofErr w:type="spellStart"/>
      <w:r w:rsidRPr="004215BD">
        <w:rPr>
          <w:lang w:val="en-US"/>
        </w:rPr>
        <w:t>Redox</w:t>
      </w:r>
      <w:proofErr w:type="spellEnd"/>
      <w:r w:rsidRPr="004215BD">
        <w:rPr>
          <w:lang w:val="en-US"/>
        </w:rPr>
        <w:t xml:space="preserve"> Behavior // ACS Omega. 2020. T. 5</w:t>
      </w:r>
      <w:r w:rsidR="000D1FB1" w:rsidRPr="00DE4F33">
        <w:rPr>
          <w:lang w:val="en-US"/>
        </w:rPr>
        <w:t>.</w:t>
      </w:r>
      <w:r w:rsidRPr="004215BD">
        <w:rPr>
          <w:lang w:val="en-US"/>
        </w:rPr>
        <w:t xml:space="preserve"> </w:t>
      </w:r>
      <w:proofErr w:type="gramStart"/>
      <w:r w:rsidRPr="004215BD">
        <w:rPr>
          <w:lang w:val="en-US"/>
        </w:rPr>
        <w:t>№ 35.</w:t>
      </w:r>
      <w:proofErr w:type="gramEnd"/>
      <w:r w:rsidRPr="004215BD">
        <w:rPr>
          <w:lang w:val="en-US"/>
        </w:rPr>
        <w:t xml:space="preserve"> </w:t>
      </w:r>
      <w:r w:rsidR="000D1FB1">
        <w:rPr>
          <w:lang w:val="en-US"/>
        </w:rPr>
        <w:t>P</w:t>
      </w:r>
      <w:r w:rsidRPr="004215BD">
        <w:rPr>
          <w:lang w:val="en-US"/>
        </w:rPr>
        <w:t>. 22179-22191.</w:t>
      </w:r>
    </w:p>
    <w:p w:rsidR="00116478" w:rsidRDefault="004215B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color w:val="000000"/>
          <w:lang w:val="en-US"/>
        </w:rPr>
        <w:t>3</w:t>
      </w:r>
      <w:r w:rsidR="00107AA3" w:rsidRPr="00E81D35">
        <w:rPr>
          <w:color w:val="000000"/>
          <w:lang w:val="en-US"/>
        </w:rPr>
        <w:t xml:space="preserve">. </w:t>
      </w:r>
      <w:r w:rsidR="001E524D" w:rsidRPr="001E524D">
        <w:rPr>
          <w:noProof/>
          <w:lang w:val="en-US"/>
        </w:rPr>
        <w:t>Renningholtz T. et al. Computational methods for investigating organic radical species // Org. Biomol. Chem. 2024. Vol. 22</w:t>
      </w:r>
      <w:r w:rsidR="000D1FB1">
        <w:rPr>
          <w:noProof/>
          <w:lang w:val="en-US"/>
        </w:rPr>
        <w:t>.</w:t>
      </w:r>
      <w:r w:rsidR="001E524D" w:rsidRPr="001E524D">
        <w:rPr>
          <w:noProof/>
          <w:lang w:val="en-US"/>
        </w:rPr>
        <w:t xml:space="preserve"> № 30. P. 6166-6173.</w:t>
      </w:r>
    </w:p>
    <w:sectPr w:rsidR="00116478" w:rsidSect="002868E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833657"/>
    <w:multiLevelType w:val="hybridMultilevel"/>
    <w:tmpl w:val="8E280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1219"/>
    <w:rsid w:val="00075D6E"/>
    <w:rsid w:val="00086081"/>
    <w:rsid w:val="0009449A"/>
    <w:rsid w:val="00094FD0"/>
    <w:rsid w:val="000D1FB1"/>
    <w:rsid w:val="000E334E"/>
    <w:rsid w:val="00101A1C"/>
    <w:rsid w:val="00103657"/>
    <w:rsid w:val="001041CF"/>
    <w:rsid w:val="00106375"/>
    <w:rsid w:val="00107AA3"/>
    <w:rsid w:val="00116478"/>
    <w:rsid w:val="00124595"/>
    <w:rsid w:val="00130241"/>
    <w:rsid w:val="00165E30"/>
    <w:rsid w:val="001E524D"/>
    <w:rsid w:val="001E61C2"/>
    <w:rsid w:val="001F0493"/>
    <w:rsid w:val="002013FD"/>
    <w:rsid w:val="002163C1"/>
    <w:rsid w:val="0022260A"/>
    <w:rsid w:val="00222874"/>
    <w:rsid w:val="002264EE"/>
    <w:rsid w:val="0023307C"/>
    <w:rsid w:val="002868E2"/>
    <w:rsid w:val="002B1CD0"/>
    <w:rsid w:val="002E5357"/>
    <w:rsid w:val="0031361E"/>
    <w:rsid w:val="00344930"/>
    <w:rsid w:val="00373E2D"/>
    <w:rsid w:val="00382E04"/>
    <w:rsid w:val="00391C38"/>
    <w:rsid w:val="003B76D6"/>
    <w:rsid w:val="003D09AD"/>
    <w:rsid w:val="003E2601"/>
    <w:rsid w:val="003F4E6B"/>
    <w:rsid w:val="004215BD"/>
    <w:rsid w:val="00426ED4"/>
    <w:rsid w:val="004860C3"/>
    <w:rsid w:val="004A26A3"/>
    <w:rsid w:val="004F0EDF"/>
    <w:rsid w:val="00522BF1"/>
    <w:rsid w:val="00590166"/>
    <w:rsid w:val="005B07E6"/>
    <w:rsid w:val="005C0A62"/>
    <w:rsid w:val="005D022B"/>
    <w:rsid w:val="005E5BE9"/>
    <w:rsid w:val="00611E02"/>
    <w:rsid w:val="00665279"/>
    <w:rsid w:val="00666BB8"/>
    <w:rsid w:val="0069427D"/>
    <w:rsid w:val="006F7A19"/>
    <w:rsid w:val="00705378"/>
    <w:rsid w:val="007213E1"/>
    <w:rsid w:val="00775389"/>
    <w:rsid w:val="00780701"/>
    <w:rsid w:val="00781D46"/>
    <w:rsid w:val="00797838"/>
    <w:rsid w:val="007C36D8"/>
    <w:rsid w:val="007F2744"/>
    <w:rsid w:val="008301A3"/>
    <w:rsid w:val="008931BE"/>
    <w:rsid w:val="008C67E3"/>
    <w:rsid w:val="00914205"/>
    <w:rsid w:val="00921D45"/>
    <w:rsid w:val="009426C0"/>
    <w:rsid w:val="00980A65"/>
    <w:rsid w:val="009A0A06"/>
    <w:rsid w:val="009A66DB"/>
    <w:rsid w:val="009B2F80"/>
    <w:rsid w:val="009B3300"/>
    <w:rsid w:val="009F3380"/>
    <w:rsid w:val="00A02163"/>
    <w:rsid w:val="00A314FE"/>
    <w:rsid w:val="00AA1D62"/>
    <w:rsid w:val="00AA5ECA"/>
    <w:rsid w:val="00AA7CF5"/>
    <w:rsid w:val="00AB19C1"/>
    <w:rsid w:val="00AD7380"/>
    <w:rsid w:val="00BE5EEB"/>
    <w:rsid w:val="00BF36F8"/>
    <w:rsid w:val="00BF4622"/>
    <w:rsid w:val="00C36346"/>
    <w:rsid w:val="00C844E2"/>
    <w:rsid w:val="00CD00B1"/>
    <w:rsid w:val="00D22306"/>
    <w:rsid w:val="00D37D84"/>
    <w:rsid w:val="00D42542"/>
    <w:rsid w:val="00D8121C"/>
    <w:rsid w:val="00DD47C4"/>
    <w:rsid w:val="00DE4F33"/>
    <w:rsid w:val="00E22189"/>
    <w:rsid w:val="00E74069"/>
    <w:rsid w:val="00E81D35"/>
    <w:rsid w:val="00EB1F49"/>
    <w:rsid w:val="00EF3620"/>
    <w:rsid w:val="00F55054"/>
    <w:rsid w:val="00F55B3A"/>
    <w:rsid w:val="00F60BF9"/>
    <w:rsid w:val="00F865B3"/>
    <w:rsid w:val="00FA2140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426E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26E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26E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26ED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426ED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26E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26E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26ED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426E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9A0A06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DE4F3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E4F3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lexsorokkin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D137683-43CC-46D9-BCE3-1FAC5BFD5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Tatiana Dubinina</cp:lastModifiedBy>
  <cp:revision>9</cp:revision>
  <cp:lastPrinted>2026-01-28T14:24:00Z</cp:lastPrinted>
  <dcterms:created xsi:type="dcterms:W3CDTF">2026-03-01T20:30:00Z</dcterms:created>
  <dcterms:modified xsi:type="dcterms:W3CDTF">2026-03-14T23:48:00Z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