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61" w:rsidRDefault="00747061" w:rsidP="00747061">
      <w:pPr>
        <w:pStyle w:val="MHC-Subtitle1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B66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Квантово-химический анализ влияния растворителя на строение Н-комплексов </w:t>
      </w:r>
    </w:p>
    <w:p w:rsidR="00747061" w:rsidRPr="000B6625" w:rsidRDefault="00747061" w:rsidP="00747061">
      <w:pPr>
        <w:pStyle w:val="MHC-Subtitle1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24978">
        <w:rPr>
          <w:rFonts w:ascii="Times New Roman" w:hAnsi="Times New Roman" w:cs="Times New Roman"/>
          <w:bCs/>
          <w:sz w:val="24"/>
          <w:szCs w:val="24"/>
          <w:lang w:val="ru-RU"/>
        </w:rPr>
        <w:t>4-[(4-</w:t>
      </w:r>
      <w:proofErr w:type="gramStart"/>
      <w:r w:rsidRPr="00724978">
        <w:rPr>
          <w:rFonts w:ascii="Times New Roman" w:hAnsi="Times New Roman" w:cs="Times New Roman"/>
          <w:bCs/>
          <w:sz w:val="24"/>
          <w:szCs w:val="24"/>
          <w:lang w:val="ru-RU"/>
        </w:rPr>
        <w:t>бутоксифенил)диазенил</w:t>
      </w:r>
      <w:proofErr w:type="gramEnd"/>
      <w:r w:rsidRPr="00724978">
        <w:rPr>
          <w:rFonts w:ascii="Times New Roman" w:hAnsi="Times New Roman" w:cs="Times New Roman"/>
          <w:bCs/>
          <w:sz w:val="24"/>
          <w:szCs w:val="24"/>
          <w:lang w:val="ru-RU"/>
        </w:rPr>
        <w:t>]бензолсульфоновой</w:t>
      </w:r>
      <w:r w:rsidRPr="000B66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кислоты с производными пиридина</w:t>
      </w:r>
    </w:p>
    <w:p w:rsidR="00747061" w:rsidRPr="000B6625" w:rsidRDefault="00747061" w:rsidP="00747061">
      <w:pPr>
        <w:pStyle w:val="MHC-Subtitle1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B6625">
        <w:rPr>
          <w:rFonts w:ascii="Times New Roman" w:hAnsi="Times New Roman" w:cs="Times New Roman"/>
          <w:bCs/>
          <w:i/>
          <w:sz w:val="24"/>
          <w:szCs w:val="24"/>
          <w:lang w:val="ru-RU"/>
        </w:rPr>
        <w:t>Филиппов А.А., Федоров М.С.</w:t>
      </w:r>
    </w:p>
    <w:p w:rsidR="00747061" w:rsidRPr="000B6625" w:rsidRDefault="00747061" w:rsidP="00747061">
      <w:pPr>
        <w:shd w:val="clear" w:color="auto" w:fill="FFFFFF"/>
        <w:jc w:val="center"/>
        <w:rPr>
          <w:color w:val="000000"/>
        </w:rPr>
      </w:pPr>
      <w:r w:rsidRPr="000B6625">
        <w:rPr>
          <w:i/>
          <w:color w:val="000000"/>
        </w:rPr>
        <w:t>Аспирант, 4 год обучения</w:t>
      </w:r>
    </w:p>
    <w:p w:rsidR="00747061" w:rsidRPr="000B6625" w:rsidRDefault="00747061" w:rsidP="00747061">
      <w:pPr>
        <w:shd w:val="clear" w:color="auto" w:fill="FFFFFF"/>
        <w:jc w:val="center"/>
        <w:rPr>
          <w:color w:val="000000"/>
        </w:rPr>
      </w:pPr>
      <w:r w:rsidRPr="000B6625">
        <w:rPr>
          <w:i/>
          <w:color w:val="000000"/>
        </w:rPr>
        <w:t>Ивановский государственный университет, Институт математики, информационных технологий и естественных наук, Иваново, Россия</w:t>
      </w:r>
    </w:p>
    <w:p w:rsidR="00747061" w:rsidRPr="000B6625" w:rsidRDefault="00747061" w:rsidP="00747061">
      <w:pPr>
        <w:shd w:val="clear" w:color="auto" w:fill="FFFFFF"/>
        <w:jc w:val="center"/>
        <w:rPr>
          <w:color w:val="000000"/>
          <w:lang w:val="en-US"/>
        </w:rPr>
      </w:pPr>
      <w:r w:rsidRPr="000B6625">
        <w:rPr>
          <w:i/>
          <w:color w:val="000000"/>
          <w:lang w:val="en-US"/>
        </w:rPr>
        <w:t xml:space="preserve">E-mail: </w:t>
      </w:r>
      <w:r w:rsidR="0006617E">
        <w:fldChar w:fldCharType="begin"/>
      </w:r>
      <w:r w:rsidR="0006617E" w:rsidRPr="0006617E">
        <w:rPr>
          <w:lang w:val="en-US"/>
        </w:rPr>
        <w:instrText xml:space="preserve"> HYPERLINK "mailto:a.filippov4498@gmail.com" \h </w:instrText>
      </w:r>
      <w:r w:rsidR="0006617E">
        <w:fldChar w:fldCharType="separate"/>
      </w:r>
      <w:r w:rsidRPr="000B6625">
        <w:rPr>
          <w:rStyle w:val="a3"/>
          <w:i/>
          <w:lang w:val="en-US"/>
        </w:rPr>
        <w:t>a.filippov4498@gmail.com</w:t>
      </w:r>
      <w:r w:rsidR="0006617E">
        <w:rPr>
          <w:rStyle w:val="a3"/>
          <w:i/>
          <w:lang w:val="en-US"/>
        </w:rPr>
        <w:fldChar w:fldCharType="end"/>
      </w:r>
    </w:p>
    <w:p w:rsidR="00747061" w:rsidRDefault="00747061" w:rsidP="00747061">
      <w:pPr>
        <w:pStyle w:val="MHC-Subtitle1"/>
        <w:spacing w:before="0" w:after="0"/>
        <w:ind w:firstLine="397"/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Молекулярные комплексы на основе сульфоновых кислот являются малоизученными в части возможности проявления ими ЖК свойств, однако в настоящее время появляется все </w:t>
      </w:r>
      <w:r w:rsidRPr="00724978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больше исследований Н-комплексов с участием сульфокислот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Pr="00154B88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[1]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. В данной работе молекула </w:t>
      </w:r>
      <w:r w:rsidRPr="00246FC7"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4-[(4-</w:t>
      </w:r>
      <w:proofErr w:type="gramStart"/>
      <w:r w:rsidRPr="00246FC7"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бутоксифенил)диазенил</w:t>
      </w:r>
      <w:proofErr w:type="gramEnd"/>
      <w:r w:rsidRPr="00246FC7"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]-бензолсульфоновой кислоты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рассматривается как перспективная структура для формирования потенциально мезогенных водородосвязанных комплексов с ан</w:t>
      </w: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изотропными производными пиридина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Py</w:t>
      </w:r>
      <w:r w:rsidRPr="00237D65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X</w:t>
      </w:r>
      <w:r w:rsidRPr="00237D65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Py</w:t>
      </w:r>
      <w:r w:rsidRPr="00ED3C75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. </w:t>
      </w:r>
      <w:r w:rsidRPr="00724978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Водородные связи образуются между сульфогруппой и приридиновым фрагментом.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В работе использован метод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DFT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в сочетании с функционалом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LYP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и базисным набором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cc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pVTZ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. При выполнении расчетов был использован программный пакет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Gaussian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09, для визуализации результатов расчетов – программа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ChemCraft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.</w:t>
      </w:r>
      <w:r w:rsidRPr="00094A9A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Влияние среды на строение исследуемых Н-комплексов состава 2:1 выполнено на примере систем с</w:t>
      </w:r>
      <w:r w:rsidRPr="00BC7FFD"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более слабой водородной связью, когда в качестве Х выступает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–</w:t>
      </w:r>
      <w:r w:rsidRPr="00BC7FFD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и более сильной, когда Х = </w:t>
      </w:r>
      <w:r w:rsidRPr="00BC7FFD"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–</w:t>
      </w:r>
      <w:r w:rsidRPr="00BC7FFD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CH</w:t>
      </w:r>
      <w:r w:rsidRPr="00BC7FFD">
        <w:rPr>
          <w:rFonts w:ascii="Times New Roman" w:hAnsi="Times New Roman" w:cs="Times New Roman"/>
          <w:b w:val="0"/>
          <w:bCs/>
          <w:sz w:val="24"/>
          <w:szCs w:val="24"/>
          <w:vertAlign w:val="subscript"/>
          <w:lang w:val="ru-RU"/>
        </w:rPr>
        <w:t>2</w:t>
      </w:r>
      <w:r w:rsidRPr="00BC7FFD"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–</w:t>
      </w:r>
      <w:r w:rsidRPr="00BC7FFD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CH</w:t>
      </w:r>
      <w:r w:rsidRPr="00BC7FFD">
        <w:rPr>
          <w:rFonts w:ascii="Times New Roman" w:hAnsi="Times New Roman" w:cs="Times New Roman"/>
          <w:b w:val="0"/>
          <w:bCs/>
          <w:sz w:val="24"/>
          <w:szCs w:val="24"/>
          <w:vertAlign w:val="subscript"/>
          <w:lang w:val="ru-RU"/>
        </w:rPr>
        <w:t>2</w:t>
      </w:r>
      <w:r w:rsidRPr="00BC7FFD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. С помощью модели </w:t>
      </w:r>
      <w:r>
        <w:rPr>
          <w:rFonts w:ascii="Times New Roman" w:hAnsi="Times New Roman" w:cs="Times New Roman"/>
          <w:b w:val="0"/>
          <w:bCs/>
          <w:iCs/>
          <w:sz w:val="24"/>
          <w:szCs w:val="24"/>
          <w:lang w:val="en-US"/>
        </w:rPr>
        <w:t>PCM</w:t>
      </w:r>
      <w:r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, учитывающей неспецифическую сольватацию, было смоделировано окружение комплекса различными растворителями.</w:t>
      </w:r>
    </w:p>
    <w:p w:rsidR="00747061" w:rsidRPr="00BC7FFD" w:rsidRDefault="00747061" w:rsidP="00747061">
      <w:pPr>
        <w:pStyle w:val="MHC-Subtitle1"/>
        <w:spacing w:before="0" w:after="0"/>
        <w:jc w:val="left"/>
        <w:rPr>
          <w:b w:val="0"/>
          <w:sz w:val="24"/>
          <w:szCs w:val="24"/>
          <w:lang w:val="ru-RU"/>
        </w:rPr>
      </w:pPr>
      <w:r w:rsidRPr="00BC7FFD">
        <w:rPr>
          <w:b w:val="0"/>
          <w:sz w:val="24"/>
          <w:szCs w:val="24"/>
          <w:lang w:val="ru-RU"/>
        </w:rPr>
        <w:t xml:space="preserve">Таблица </w:t>
      </w:r>
      <w:r>
        <w:rPr>
          <w:b w:val="0"/>
          <w:sz w:val="24"/>
          <w:szCs w:val="24"/>
          <w:lang w:val="ru-RU"/>
        </w:rPr>
        <w:t>1</w:t>
      </w:r>
      <w:r w:rsidRPr="00BC7FFD">
        <w:rPr>
          <w:b w:val="0"/>
          <w:sz w:val="24"/>
          <w:szCs w:val="24"/>
          <w:lang w:val="ru-RU"/>
        </w:rPr>
        <w:t>.</w:t>
      </w:r>
      <w:r w:rsidRPr="00BC7FFD">
        <w:rPr>
          <w:b w:val="0"/>
          <w:bCs/>
          <w:sz w:val="24"/>
          <w:szCs w:val="24"/>
          <w:lang w:val="ru-RU"/>
        </w:rPr>
        <w:t xml:space="preserve"> </w:t>
      </w:r>
      <w:r>
        <w:rPr>
          <w:b w:val="0"/>
          <w:bCs/>
          <w:sz w:val="24"/>
          <w:szCs w:val="24"/>
          <w:lang w:val="ru-RU"/>
        </w:rPr>
        <w:t>Х</w:t>
      </w:r>
      <w:r w:rsidRPr="00BC7FFD">
        <w:rPr>
          <w:b w:val="0"/>
          <w:bCs/>
          <w:sz w:val="24"/>
          <w:szCs w:val="24"/>
          <w:lang w:val="ru-RU"/>
        </w:rPr>
        <w:t xml:space="preserve">арактеристики </w:t>
      </w:r>
      <w:r>
        <w:rPr>
          <w:b w:val="0"/>
          <w:bCs/>
          <w:sz w:val="24"/>
          <w:szCs w:val="24"/>
          <w:lang w:val="ru-RU"/>
        </w:rPr>
        <w:t>Н-</w:t>
      </w:r>
      <w:r w:rsidRPr="00BC7FFD">
        <w:rPr>
          <w:b w:val="0"/>
          <w:bCs/>
          <w:sz w:val="24"/>
          <w:szCs w:val="24"/>
          <w:lang w:val="ru-RU"/>
        </w:rPr>
        <w:t xml:space="preserve">связей </w:t>
      </w:r>
      <w:r w:rsidRPr="00724978">
        <w:rPr>
          <w:b w:val="0"/>
          <w:bCs/>
          <w:sz w:val="24"/>
          <w:szCs w:val="24"/>
          <w:lang w:val="ru-RU"/>
        </w:rPr>
        <w:t xml:space="preserve">в </w:t>
      </w:r>
      <w:r w:rsidRPr="00724978">
        <w:rPr>
          <w:b w:val="0"/>
          <w:bCs/>
          <w:sz w:val="24"/>
          <w:szCs w:val="24"/>
          <w:lang w:val="en-US"/>
        </w:rPr>
        <w:t>H</w:t>
      </w:r>
      <w:r w:rsidRPr="00724978">
        <w:rPr>
          <w:b w:val="0"/>
          <w:bCs/>
          <w:sz w:val="24"/>
          <w:szCs w:val="24"/>
          <w:lang w:val="ru-RU"/>
        </w:rPr>
        <w:t xml:space="preserve">-комплексах с </w:t>
      </w:r>
      <w:r w:rsidRPr="00724978">
        <w:rPr>
          <w:b w:val="0"/>
          <w:bCs/>
          <w:sz w:val="24"/>
          <w:szCs w:val="24"/>
          <w:lang w:val="en-US"/>
        </w:rPr>
        <w:t>X</w:t>
      </w:r>
      <w:r w:rsidRPr="00724978">
        <w:rPr>
          <w:b w:val="0"/>
          <w:bCs/>
          <w:sz w:val="24"/>
          <w:szCs w:val="24"/>
          <w:lang w:val="ru-RU"/>
        </w:rPr>
        <w:t xml:space="preserve"> = </w:t>
      </w:r>
      <w:r w:rsidRPr="00724978">
        <w:rPr>
          <w:b w:val="0"/>
          <w:bCs/>
          <w:iCs/>
          <w:sz w:val="24"/>
          <w:szCs w:val="24"/>
          <w:lang w:val="ru-RU"/>
        </w:rPr>
        <w:t>–</w:t>
      </w:r>
      <w:r w:rsidRPr="00724978">
        <w:rPr>
          <w:b w:val="0"/>
          <w:bCs/>
          <w:sz w:val="24"/>
          <w:szCs w:val="24"/>
          <w:lang w:val="en-US"/>
        </w:rPr>
        <w:t>N</w:t>
      </w:r>
      <w:r w:rsidRPr="00724978">
        <w:rPr>
          <w:b w:val="0"/>
          <w:bCs/>
          <w:sz w:val="24"/>
          <w:szCs w:val="24"/>
          <w:lang w:val="ru-RU"/>
        </w:rPr>
        <w:t>=</w:t>
      </w:r>
      <w:r w:rsidRPr="00724978">
        <w:rPr>
          <w:b w:val="0"/>
          <w:bCs/>
          <w:sz w:val="24"/>
          <w:szCs w:val="24"/>
          <w:lang w:val="en-US"/>
        </w:rPr>
        <w:t>N</w:t>
      </w:r>
      <w:r w:rsidRPr="00724978">
        <w:rPr>
          <w:b w:val="0"/>
          <w:bCs/>
          <w:iCs/>
          <w:sz w:val="24"/>
          <w:szCs w:val="24"/>
          <w:lang w:val="ru-RU"/>
        </w:rPr>
        <w:t>–</w:t>
      </w:r>
      <w:r w:rsidRPr="00724978">
        <w:rPr>
          <w:b w:val="0"/>
          <w:bCs/>
          <w:sz w:val="24"/>
          <w:szCs w:val="24"/>
          <w:lang w:val="ru-RU"/>
        </w:rPr>
        <w:t xml:space="preserve"> и величины энергий межмолекулярных взаимодействий </w:t>
      </w:r>
      <w:r w:rsidRPr="00724978">
        <w:rPr>
          <w:b w:val="0"/>
          <w:bCs/>
          <w:sz w:val="24"/>
          <w:szCs w:val="24"/>
        </w:rPr>
        <w:t>Δ</w:t>
      </w:r>
      <w:r w:rsidRPr="00724978">
        <w:rPr>
          <w:b w:val="0"/>
          <w:bCs/>
          <w:sz w:val="24"/>
          <w:szCs w:val="24"/>
          <w:lang w:val="en-US"/>
        </w:rPr>
        <w:t>E</w:t>
      </w:r>
      <w:r w:rsidRPr="00724978">
        <w:rPr>
          <w:b w:val="0"/>
          <w:bCs/>
          <w:sz w:val="24"/>
          <w:szCs w:val="24"/>
          <w:vertAlign w:val="subscript"/>
          <w:lang w:val="ru-RU"/>
        </w:rPr>
        <w:t>ММВ</w:t>
      </w:r>
      <w:r w:rsidRPr="00724978">
        <w:rPr>
          <w:b w:val="0"/>
          <w:bCs/>
          <w:sz w:val="24"/>
          <w:szCs w:val="24"/>
          <w:lang w:val="ru-RU"/>
        </w:rPr>
        <w:t xml:space="preserve"> для них</w:t>
      </w:r>
      <w:r w:rsidRPr="00BC7FFD">
        <w:rPr>
          <w:b w:val="0"/>
          <w:bCs/>
          <w:sz w:val="24"/>
          <w:szCs w:val="24"/>
          <w:lang w:val="ru-RU"/>
        </w:rPr>
        <w:t xml:space="preserve"> в газе и в среде растворителей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39"/>
        <w:gridCol w:w="2059"/>
        <w:gridCol w:w="1300"/>
        <w:gridCol w:w="1276"/>
        <w:gridCol w:w="1506"/>
      </w:tblGrid>
      <w:tr w:rsidR="00747061" w:rsidRPr="00844BA7" w:rsidTr="00E44BD5">
        <w:trPr>
          <w:trHeight w:val="363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Растворитель,</w:t>
            </w:r>
            <w:r w:rsidRPr="00DA4E37">
              <w:rPr>
                <w:lang w:val="en-US"/>
              </w:rPr>
              <w:t xml:space="preserve"> ε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  <w:rPr>
                <w:vertAlign w:val="subscript"/>
              </w:rPr>
            </w:pPr>
            <w:r w:rsidRPr="00DA4E37">
              <w:rPr>
                <w:lang w:val="pt-BR"/>
              </w:rPr>
              <w:t>-E</w:t>
            </w:r>
            <w:r w:rsidRPr="00DA4E37">
              <w:rPr>
                <w:vertAlign w:val="subscript"/>
              </w:rPr>
              <w:t>ММВ</w:t>
            </w:r>
            <w:r w:rsidRPr="00DA4E37">
              <w:rPr>
                <w:vertAlign w:val="subscript"/>
                <w:lang w:val="en-US"/>
              </w:rPr>
              <w:t xml:space="preserve">, </w:t>
            </w:r>
            <w:r w:rsidRPr="00DA4E37">
              <w:t>ккал</w:t>
            </w:r>
            <w:r w:rsidRPr="00DA4E37">
              <w:rPr>
                <w:lang w:val="pt-BR"/>
              </w:rPr>
              <w:t>/</w:t>
            </w:r>
            <w:r w:rsidRPr="00DA4E37">
              <w:t>моль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pt-BR"/>
              </w:rPr>
            </w:pPr>
            <w:r w:rsidRPr="00DA4E37">
              <w:rPr>
                <w:lang w:val="pt-BR"/>
              </w:rPr>
              <w:t>r(HN), Å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pt-BR"/>
              </w:rPr>
            </w:pPr>
            <w:r w:rsidRPr="00DA4E37">
              <w:rPr>
                <w:lang w:val="pt-BR"/>
              </w:rPr>
              <w:t>r(OH), Å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pt-BR"/>
              </w:rPr>
            </w:pPr>
            <w:r w:rsidRPr="00DA4E37">
              <w:rPr>
                <w:rFonts w:ascii="Cambria Math" w:hAnsi="Cambria Math" w:cs="Cambria Math"/>
              </w:rPr>
              <w:t>∠</w:t>
            </w:r>
            <w:r w:rsidRPr="00DA4E37">
              <w:rPr>
                <w:bCs/>
                <w:lang w:val="pt-BR"/>
              </w:rPr>
              <w:t>OH</w:t>
            </w:r>
            <w:r w:rsidRPr="00DA4E37">
              <w:rPr>
                <w:lang w:val="pt-BR"/>
              </w:rPr>
              <w:t xml:space="preserve">N, </w:t>
            </w:r>
            <w:r w:rsidRPr="00DA4E37">
              <w:rPr>
                <w:lang w:val="pt-BR"/>
              </w:rPr>
              <w:fldChar w:fldCharType="begin"/>
            </w:r>
            <w:r w:rsidRPr="00DA4E37">
              <w:rPr>
                <w:lang w:val="pt-BR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°</m:t>
              </m:r>
            </m:oMath>
            <w:r w:rsidRPr="00DA4E37">
              <w:rPr>
                <w:lang w:val="pt-BR"/>
              </w:rPr>
              <w:fldChar w:fldCharType="separate"/>
            </w:r>
            <w:r w:rsidRPr="00DA4E37">
              <w:rPr>
                <w:lang w:val="en-US"/>
              </w:rPr>
              <w:t>°</w:t>
            </w:r>
            <w:r w:rsidRPr="00DA4E37">
              <w:rPr>
                <w:lang w:val="pt-BR"/>
              </w:rPr>
              <w:fldChar w:fldCharType="end"/>
            </w:r>
          </w:p>
        </w:tc>
      </w:tr>
      <w:tr w:rsidR="00747061" w:rsidRPr="00844BA7" w:rsidTr="00E44BD5">
        <w:trPr>
          <w:trHeight w:val="276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Газ (0)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25.56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1.661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1.0</w:t>
            </w:r>
            <w:r w:rsidRPr="00DA4E37">
              <w:rPr>
                <w:lang w:val="en-US"/>
              </w:rPr>
              <w:t>20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175.4</w:t>
            </w:r>
          </w:p>
        </w:tc>
      </w:tr>
      <w:tr w:rsidR="00747061" w:rsidRPr="00844BA7" w:rsidTr="00E44BD5">
        <w:trPr>
          <w:trHeight w:val="45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Гептан</w:t>
            </w:r>
            <w:r w:rsidRPr="00DA4E37">
              <w:rPr>
                <w:lang w:val="en-US"/>
              </w:rPr>
              <w:t xml:space="preserve"> (1.91)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31.77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rPr>
                <w:lang w:val="en-US"/>
              </w:rPr>
              <w:t>1.606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rPr>
                <w:lang w:val="en-US"/>
              </w:rPr>
              <w:t>1.034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rPr>
                <w:lang w:val="en-US"/>
              </w:rPr>
              <w:t>175.4</w:t>
            </w:r>
          </w:p>
        </w:tc>
      </w:tr>
      <w:tr w:rsidR="00747061" w:rsidRPr="00844BA7" w:rsidTr="00E44BD5">
        <w:trPr>
          <w:trHeight w:val="45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Диэтиловый эфир</w:t>
            </w:r>
            <w:r w:rsidRPr="00DA4E37">
              <w:rPr>
                <w:lang w:val="en-US"/>
              </w:rPr>
              <w:t xml:space="preserve"> (4.24)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85.26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1.088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rPr>
                <w:lang w:val="en-US"/>
              </w:rPr>
              <w:t>1.499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179.1</w:t>
            </w:r>
          </w:p>
        </w:tc>
      </w:tr>
      <w:tr w:rsidR="00747061" w:rsidRPr="00844BA7" w:rsidTr="00E44BD5">
        <w:trPr>
          <w:trHeight w:val="45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Метилбензоат</w:t>
            </w:r>
            <w:r w:rsidRPr="00DA4E37">
              <w:rPr>
                <w:lang w:val="en-US"/>
              </w:rPr>
              <w:t xml:space="preserve"> (6.73)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63.67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rPr>
                <w:lang w:val="en-US"/>
              </w:rPr>
              <w:t>1.07</w:t>
            </w:r>
            <w:r w:rsidRPr="00DA4E37">
              <w:t>8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rPr>
                <w:lang w:val="en-US"/>
              </w:rPr>
              <w:t>1.53</w:t>
            </w:r>
            <w:r w:rsidRPr="00DA4E37">
              <w:t>4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179.0</w:t>
            </w:r>
          </w:p>
        </w:tc>
      </w:tr>
      <w:tr w:rsidR="00747061" w:rsidRPr="00844BA7" w:rsidTr="00E44BD5">
        <w:trPr>
          <w:trHeight w:val="45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 xml:space="preserve">Этилметаноат </w:t>
            </w:r>
            <w:r w:rsidRPr="00DA4E37">
              <w:rPr>
                <w:lang w:val="en-US"/>
              </w:rPr>
              <w:t>(8.33)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56.75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rPr>
                <w:lang w:val="en-US"/>
              </w:rPr>
              <w:t>1.075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rPr>
                <w:lang w:val="en-US"/>
              </w:rPr>
              <w:t>1.544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179.1</w:t>
            </w:r>
          </w:p>
        </w:tc>
      </w:tr>
      <w:tr w:rsidR="00747061" w:rsidRPr="00844BA7" w:rsidTr="00E44BD5">
        <w:trPr>
          <w:trHeight w:val="45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1-Гептанол</w:t>
            </w:r>
            <w:r w:rsidRPr="00DA4E37">
              <w:rPr>
                <w:lang w:val="en-US"/>
              </w:rPr>
              <w:t xml:space="preserve"> (11</w:t>
            </w:r>
            <w:r w:rsidRPr="00DA4E37">
              <w:t>.32)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49.01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1.071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1.559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179.3</w:t>
            </w:r>
          </w:p>
        </w:tc>
      </w:tr>
      <w:tr w:rsidR="00747061" w:rsidRPr="00844BA7" w:rsidTr="00E44BD5">
        <w:trPr>
          <w:trHeight w:val="45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Этанол (24.85)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37.48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1.066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1.580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179.7</w:t>
            </w:r>
          </w:p>
        </w:tc>
      </w:tr>
      <w:tr w:rsidR="00747061" w:rsidRPr="00844BA7" w:rsidTr="00E44BD5">
        <w:trPr>
          <w:trHeight w:val="167"/>
          <w:jc w:val="center"/>
        </w:trPr>
        <w:tc>
          <w:tcPr>
            <w:tcW w:w="2939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Ацетонитрил</w:t>
            </w:r>
            <w:r w:rsidRPr="00DA4E37">
              <w:rPr>
                <w:lang w:val="en-US"/>
              </w:rPr>
              <w:t xml:space="preserve"> (35.68)</w:t>
            </w:r>
          </w:p>
        </w:tc>
        <w:tc>
          <w:tcPr>
            <w:tcW w:w="2059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34.57</w:t>
            </w:r>
          </w:p>
        </w:tc>
        <w:tc>
          <w:tcPr>
            <w:tcW w:w="1300" w:type="dxa"/>
            <w:vAlign w:val="center"/>
          </w:tcPr>
          <w:p w:rsidR="00747061" w:rsidRPr="00DA4E37" w:rsidRDefault="00747061" w:rsidP="00E44BD5">
            <w:pPr>
              <w:jc w:val="center"/>
            </w:pPr>
            <w:r w:rsidRPr="00DA4E37">
              <w:t>1.065</w:t>
            </w:r>
          </w:p>
        </w:tc>
        <w:tc>
          <w:tcPr>
            <w:tcW w:w="1276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1.58</w:t>
            </w:r>
            <w:r w:rsidRPr="00DA4E37">
              <w:rPr>
                <w:lang w:val="en-US"/>
              </w:rPr>
              <w:t>0</w:t>
            </w:r>
          </w:p>
        </w:tc>
        <w:tc>
          <w:tcPr>
            <w:tcW w:w="1506" w:type="dxa"/>
            <w:vAlign w:val="center"/>
          </w:tcPr>
          <w:p w:rsidR="00747061" w:rsidRPr="00DA4E37" w:rsidRDefault="00747061" w:rsidP="00E44BD5">
            <w:pPr>
              <w:jc w:val="center"/>
              <w:rPr>
                <w:lang w:val="en-US"/>
              </w:rPr>
            </w:pPr>
            <w:r w:rsidRPr="00DA4E37">
              <w:t>179.5</w:t>
            </w:r>
          </w:p>
        </w:tc>
      </w:tr>
    </w:tbl>
    <w:p w:rsidR="00747061" w:rsidRDefault="00747061" w:rsidP="00747061">
      <w:pPr>
        <w:pStyle w:val="a4"/>
        <w:spacing w:before="0" w:after="0"/>
        <w:ind w:firstLine="397"/>
        <w:jc w:val="both"/>
        <w:rPr>
          <w:bCs/>
        </w:rPr>
      </w:pPr>
      <w:r>
        <w:rPr>
          <w:bCs/>
          <w:iCs/>
        </w:rPr>
        <w:t xml:space="preserve">Из таблицы </w:t>
      </w:r>
      <w:r>
        <w:rPr>
          <w:bCs/>
          <w:iCs/>
          <w:color w:val="000000"/>
        </w:rPr>
        <w:t>следует,</w:t>
      </w:r>
      <w:r>
        <w:rPr>
          <w:bCs/>
          <w:iCs/>
        </w:rPr>
        <w:t xml:space="preserve"> что при увеличении полярности растворителя (диэлектрической проницаемости) происходит уменьшение расстояния </w:t>
      </w:r>
      <w:r>
        <w:rPr>
          <w:bCs/>
          <w:lang w:val="pt-BR"/>
        </w:rPr>
        <w:t>HN</w:t>
      </w:r>
      <w:r>
        <w:rPr>
          <w:bCs/>
        </w:rPr>
        <w:t xml:space="preserve"> и увеличение расстояния </w:t>
      </w:r>
      <w:r>
        <w:rPr>
          <w:bCs/>
          <w:lang w:val="pt-BR"/>
        </w:rPr>
        <w:t>OH</w:t>
      </w:r>
      <w:r>
        <w:rPr>
          <w:bCs/>
        </w:rPr>
        <w:t xml:space="preserve">. При этом в малополярных растворителях Н-комплекс сохраняет форму без переноса протона с водородной связью типа </w:t>
      </w:r>
      <w:r>
        <w:rPr>
          <w:bCs/>
          <w:iCs/>
          <w:lang w:val="en-US"/>
        </w:rPr>
        <w:t>O</w:t>
      </w:r>
      <w:r>
        <w:rPr>
          <w:bCs/>
        </w:rPr>
        <w:t>–</w:t>
      </w:r>
      <w:r>
        <w:rPr>
          <w:bCs/>
          <w:iCs/>
          <w:lang w:val="en-US"/>
        </w:rPr>
        <w:t>H</w:t>
      </w:r>
      <w:r>
        <w:rPr>
          <w:bCs/>
          <w:iCs/>
        </w:rPr>
        <w:t>···</w:t>
      </w:r>
      <w:r>
        <w:rPr>
          <w:bCs/>
          <w:lang w:val="en-US"/>
        </w:rPr>
        <w:t>N</w:t>
      </w:r>
      <w:r>
        <w:rPr>
          <w:bCs/>
        </w:rPr>
        <w:t xml:space="preserve">. В более полярных растворителях наблюдается изменение формы комплекса, при котором происходит перенос протона с сульфогруппы на пиридиновый </w:t>
      </w:r>
      <w:r w:rsidRPr="00724978">
        <w:rPr>
          <w:bCs/>
        </w:rPr>
        <w:t>фрагмент с формированием</w:t>
      </w:r>
      <w:r>
        <w:rPr>
          <w:bCs/>
        </w:rPr>
        <w:t xml:space="preserve"> водородной связи типа </w:t>
      </w:r>
      <w:r>
        <w:rPr>
          <w:bCs/>
          <w:iCs/>
          <w:lang w:val="en-US"/>
        </w:rPr>
        <w:t>O</w:t>
      </w:r>
      <w:r>
        <w:rPr>
          <w:bCs/>
          <w:iCs/>
        </w:rPr>
        <w:t>···</w:t>
      </w:r>
      <w:r>
        <w:rPr>
          <w:bCs/>
          <w:iCs/>
          <w:lang w:val="en-US"/>
        </w:rPr>
        <w:t>H</w:t>
      </w:r>
      <w:r>
        <w:rPr>
          <w:bCs/>
        </w:rPr>
        <w:t>–</w:t>
      </w:r>
      <w:r>
        <w:rPr>
          <w:bCs/>
          <w:lang w:val="en-US"/>
        </w:rPr>
        <w:t>N</w:t>
      </w:r>
      <w:r>
        <w:rPr>
          <w:bCs/>
        </w:rPr>
        <w:t xml:space="preserve">. Отметим, что наиболее короткое расстояние </w:t>
      </w:r>
      <w:r>
        <w:rPr>
          <w:bCs/>
          <w:iCs/>
          <w:lang w:val="en-US"/>
        </w:rPr>
        <w:t>H</w:t>
      </w:r>
      <w:r>
        <w:rPr>
          <w:bCs/>
          <w:iCs/>
        </w:rPr>
        <w:t>···</w:t>
      </w:r>
      <w:r>
        <w:rPr>
          <w:bCs/>
          <w:lang w:val="en-US"/>
        </w:rPr>
        <w:t>N</w:t>
      </w:r>
      <w:r>
        <w:rPr>
          <w:bCs/>
        </w:rPr>
        <w:t xml:space="preserve"> наблюдается в случае растворителя с наибольшей диэлектрической проницаемостью (</w:t>
      </w:r>
      <w:r w:rsidRPr="00246FC7">
        <w:rPr>
          <w:bCs/>
          <w:iCs/>
        </w:rPr>
        <w:t>ацетонитрил</w:t>
      </w:r>
      <w:r>
        <w:rPr>
          <w:bCs/>
        </w:rPr>
        <w:t xml:space="preserve">). Аналогичные тенденции наблюдаются и для комплекса </w:t>
      </w:r>
      <w:r w:rsidRPr="00246FC7">
        <w:rPr>
          <w:bCs/>
        </w:rPr>
        <w:t>Х</w:t>
      </w:r>
      <w:r>
        <w:rPr>
          <w:b/>
          <w:bCs/>
        </w:rPr>
        <w:t xml:space="preserve"> = </w:t>
      </w:r>
      <w:r w:rsidRPr="00BC7FFD">
        <w:rPr>
          <w:bCs/>
          <w:iCs/>
        </w:rPr>
        <w:t>–</w:t>
      </w:r>
      <w:r w:rsidRPr="00BC7FFD">
        <w:rPr>
          <w:bCs/>
          <w:lang w:val="en-US"/>
        </w:rPr>
        <w:t>CH</w:t>
      </w:r>
      <w:r w:rsidRPr="00BC7FFD">
        <w:rPr>
          <w:bCs/>
          <w:vertAlign w:val="subscript"/>
        </w:rPr>
        <w:t>2</w:t>
      </w:r>
      <w:r w:rsidRPr="00BC7FFD">
        <w:rPr>
          <w:bCs/>
          <w:iCs/>
        </w:rPr>
        <w:t>–</w:t>
      </w:r>
      <w:r w:rsidRPr="00BC7FFD">
        <w:rPr>
          <w:bCs/>
          <w:lang w:val="en-US"/>
        </w:rPr>
        <w:t>CH</w:t>
      </w:r>
      <w:r w:rsidRPr="00BC7FFD">
        <w:rPr>
          <w:bCs/>
          <w:vertAlign w:val="subscript"/>
        </w:rPr>
        <w:t>2</w:t>
      </w:r>
      <w:r w:rsidRPr="00BC7FFD">
        <w:rPr>
          <w:bCs/>
        </w:rPr>
        <w:t>–</w:t>
      </w:r>
      <w:r>
        <w:rPr>
          <w:bCs/>
        </w:rPr>
        <w:t xml:space="preserve">, однако перенос протона в нем происходит в менее полярном растворителе, то есть </w:t>
      </w:r>
      <w:r w:rsidRPr="00724978">
        <w:rPr>
          <w:bCs/>
        </w:rPr>
        <w:t>более легко, что</w:t>
      </w:r>
      <w:r>
        <w:rPr>
          <w:bCs/>
        </w:rPr>
        <w:t xml:space="preserve"> объясняется большей прочностью Н-связей в данном комплексе по сравнению с </w:t>
      </w:r>
      <w:r w:rsidRPr="00724978">
        <w:rPr>
          <w:bCs/>
        </w:rPr>
        <w:t xml:space="preserve">комплексом, где </w:t>
      </w:r>
      <w:r w:rsidRPr="00724978">
        <w:rPr>
          <w:bCs/>
          <w:lang w:val="en-US"/>
        </w:rPr>
        <w:t>X</w:t>
      </w:r>
      <w:r w:rsidRPr="00246FC7">
        <w:rPr>
          <w:bCs/>
        </w:rPr>
        <w:t xml:space="preserve"> = </w:t>
      </w:r>
      <w:r>
        <w:rPr>
          <w:bCs/>
        </w:rPr>
        <w:t>–</w:t>
      </w:r>
      <w:r>
        <w:rPr>
          <w:bCs/>
          <w:lang w:val="en-US"/>
        </w:rPr>
        <w:t>N</w:t>
      </w:r>
      <w:r>
        <w:rPr>
          <w:bCs/>
        </w:rPr>
        <w:t>=</w:t>
      </w:r>
      <w:r>
        <w:rPr>
          <w:bCs/>
          <w:lang w:val="en-US"/>
        </w:rPr>
        <w:t>N</w:t>
      </w:r>
      <w:r>
        <w:rPr>
          <w:bCs/>
        </w:rPr>
        <w:t>–</w:t>
      </w:r>
      <w:r w:rsidRPr="00246FC7">
        <w:rPr>
          <w:bCs/>
        </w:rPr>
        <w:t>.</w:t>
      </w:r>
    </w:p>
    <w:p w:rsidR="00747061" w:rsidRPr="00ED3C75" w:rsidRDefault="00747061" w:rsidP="00747061">
      <w:pPr>
        <w:pStyle w:val="a4"/>
        <w:spacing w:before="0" w:after="0"/>
        <w:ind w:firstLine="397"/>
        <w:jc w:val="both"/>
        <w:rPr>
          <w:bCs/>
        </w:rPr>
      </w:pPr>
      <w:r>
        <w:rPr>
          <w:bCs/>
          <w:iCs/>
        </w:rPr>
        <w:t>Таким образом, в</w:t>
      </w:r>
      <w:r w:rsidRPr="00154B88">
        <w:rPr>
          <w:bCs/>
          <w:iCs/>
        </w:rPr>
        <w:t xml:space="preserve">ыполненные расчеты позволяют </w:t>
      </w:r>
      <w:r>
        <w:rPr>
          <w:bCs/>
          <w:iCs/>
        </w:rPr>
        <w:t xml:space="preserve">смоделировать поведение комплексов в </w:t>
      </w:r>
      <w:r w:rsidRPr="00724978">
        <w:rPr>
          <w:bCs/>
          <w:iCs/>
        </w:rPr>
        <w:t>конденсированной фазе и предсказать структурные единицы исследуемых систем.</w:t>
      </w:r>
    </w:p>
    <w:p w:rsidR="00747061" w:rsidRPr="00724978" w:rsidRDefault="00747061" w:rsidP="00747061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  <w:iCs/>
        </w:rPr>
        <w:t>Литература</w:t>
      </w:r>
    </w:p>
    <w:p w:rsidR="00747061" w:rsidRPr="00DA4E37" w:rsidRDefault="00747061" w:rsidP="00747061">
      <w:pPr>
        <w:pStyle w:val="a4"/>
        <w:spacing w:before="0" w:after="0"/>
        <w:jc w:val="both"/>
        <w:rPr>
          <w:lang w:val="en-US"/>
        </w:rPr>
      </w:pPr>
      <w:r w:rsidRPr="00724978">
        <w:t xml:space="preserve">1. </w:t>
      </w:r>
      <w:r w:rsidRPr="00154B88">
        <w:rPr>
          <w:lang w:val="en-US"/>
        </w:rPr>
        <w:t>D</w:t>
      </w:r>
      <w:r w:rsidRPr="00724978">
        <w:t>.</w:t>
      </w:r>
      <w:r w:rsidRPr="00154B88">
        <w:rPr>
          <w:lang w:val="en-US"/>
        </w:rPr>
        <w:t>V</w:t>
      </w:r>
      <w:r w:rsidRPr="00724978">
        <w:t xml:space="preserve">. </w:t>
      </w:r>
      <w:r w:rsidRPr="00154B88">
        <w:rPr>
          <w:lang w:val="en-US"/>
        </w:rPr>
        <w:t>Anokhin</w:t>
      </w:r>
      <w:r w:rsidRPr="00724978">
        <w:t xml:space="preserve">, </w:t>
      </w:r>
      <w:r w:rsidRPr="00154B88">
        <w:rPr>
          <w:lang w:val="en-US"/>
        </w:rPr>
        <w:t>L</w:t>
      </w:r>
      <w:r w:rsidRPr="00724978">
        <w:t>.</w:t>
      </w:r>
      <w:r w:rsidRPr="00154B88">
        <w:rPr>
          <w:lang w:val="en-US"/>
        </w:rPr>
        <w:t>L</w:t>
      </w:r>
      <w:r w:rsidRPr="00724978">
        <w:t xml:space="preserve">. </w:t>
      </w:r>
      <w:r w:rsidRPr="00154B88">
        <w:rPr>
          <w:lang w:val="en-US"/>
        </w:rPr>
        <w:t>Gureva</w:t>
      </w:r>
      <w:r w:rsidRPr="00724978">
        <w:t xml:space="preserve">, </w:t>
      </w:r>
      <w:r w:rsidRPr="00154B88">
        <w:rPr>
          <w:lang w:val="en-US"/>
        </w:rPr>
        <w:t>E</w:t>
      </w:r>
      <w:r w:rsidRPr="00724978">
        <w:t>.</w:t>
      </w:r>
      <w:r w:rsidRPr="00154B88">
        <w:rPr>
          <w:lang w:val="en-US"/>
        </w:rPr>
        <w:t>S</w:t>
      </w:r>
      <w:r w:rsidRPr="00724978">
        <w:t xml:space="preserve">. </w:t>
      </w:r>
      <w:r w:rsidRPr="00154B88">
        <w:rPr>
          <w:lang w:val="en-US"/>
        </w:rPr>
        <w:t>Pikalov</w:t>
      </w:r>
      <w:r w:rsidRPr="00724978">
        <w:t xml:space="preserve">, </w:t>
      </w:r>
      <w:r w:rsidRPr="00154B88">
        <w:rPr>
          <w:lang w:val="en-US"/>
        </w:rPr>
        <w:t>A</w:t>
      </w:r>
      <w:r w:rsidRPr="00724978">
        <w:t>.</w:t>
      </w:r>
      <w:r w:rsidRPr="00154B88">
        <w:rPr>
          <w:lang w:val="en-US"/>
        </w:rPr>
        <w:t>F</w:t>
      </w:r>
      <w:r w:rsidRPr="00724978">
        <w:t xml:space="preserve">. </w:t>
      </w:r>
      <w:r w:rsidRPr="00154B88">
        <w:rPr>
          <w:lang w:val="en-US"/>
        </w:rPr>
        <w:t>Abukaev</w:t>
      </w:r>
      <w:r w:rsidRPr="00724978">
        <w:t xml:space="preserve">, </w:t>
      </w:r>
      <w:r w:rsidRPr="00154B88">
        <w:rPr>
          <w:lang w:val="en-US"/>
        </w:rPr>
        <w:t>V</w:t>
      </w:r>
      <w:r w:rsidRPr="00724978">
        <w:t>.</w:t>
      </w:r>
      <w:r w:rsidRPr="00154B88">
        <w:rPr>
          <w:lang w:val="en-US"/>
        </w:rPr>
        <w:t>P</w:t>
      </w:r>
      <w:r w:rsidRPr="00724978">
        <w:t xml:space="preserve">. </w:t>
      </w:r>
      <w:r w:rsidRPr="00724978">
        <w:rPr>
          <w:lang w:val="en-US"/>
        </w:rPr>
        <w:t>Tarasov</w:t>
      </w:r>
      <w:r w:rsidRPr="00724978">
        <w:t>.</w:t>
      </w:r>
      <w:r w:rsidRPr="00724978"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 w:rsidRPr="00724978">
        <w:rPr>
          <w:lang w:val="en-US"/>
        </w:rPr>
        <w:t>Methods for controlling the texture of thin films of wedge-shaped amphiphilic compounds based on 2</w:t>
      </w:r>
      <w:proofErr w:type="gramStart"/>
      <w:r w:rsidRPr="00724978">
        <w:rPr>
          <w:lang w:val="en-US"/>
        </w:rPr>
        <w:t>,3,4</w:t>
      </w:r>
      <w:proofErr w:type="gramEnd"/>
      <w:r w:rsidRPr="00724978">
        <w:rPr>
          <w:lang w:val="en-US"/>
        </w:rPr>
        <w:t>-tris(dodecyloxy) benzenesulfonic acid // Russ. Chem. Bull. – 2023. – V. 72</w:t>
      </w:r>
      <w:r w:rsidRPr="00724978">
        <w:t>(</w:t>
      </w:r>
      <w:r w:rsidRPr="00724978">
        <w:rPr>
          <w:lang w:val="en-US"/>
        </w:rPr>
        <w:t>6</w:t>
      </w:r>
      <w:r w:rsidRPr="00724978">
        <w:t>)</w:t>
      </w:r>
      <w:r w:rsidRPr="00724978">
        <w:rPr>
          <w:lang w:val="en-US"/>
        </w:rPr>
        <w:t>. – P. 1</w:t>
      </w:r>
      <w:r w:rsidRPr="00154B88">
        <w:rPr>
          <w:lang w:val="en-US"/>
        </w:rPr>
        <w:t>388-1395.</w:t>
      </w:r>
    </w:p>
    <w:p w:rsidR="00A97A57" w:rsidRDefault="00A97A57"/>
    <w:sectPr w:rsidR="00A97A57" w:rsidSect="0006617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61"/>
    <w:rsid w:val="0006617E"/>
    <w:rsid w:val="00747061"/>
    <w:rsid w:val="00A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8047D3-3D4B-40E1-A3FA-326423E2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47061"/>
    <w:rPr>
      <w:color w:val="0563C1" w:themeColor="hyperlink"/>
      <w:u w:val="single"/>
    </w:rPr>
  </w:style>
  <w:style w:type="paragraph" w:customStyle="1" w:styleId="MHC-Subtitle1">
    <w:name w:val="MHC-Subtitle1"/>
    <w:basedOn w:val="a"/>
    <w:qFormat/>
    <w:rsid w:val="00747061"/>
    <w:pPr>
      <w:suppressAutoHyphens/>
      <w:spacing w:before="120" w:after="120"/>
      <w:jc w:val="both"/>
    </w:pPr>
    <w:rPr>
      <w:rFonts w:ascii="Times New Roman CYR" w:eastAsia="DejaVu Sans" w:hAnsi="Times New Roman CYR" w:cs="Times New Roman CYR"/>
      <w:b/>
      <w:kern w:val="2"/>
      <w:sz w:val="28"/>
      <w:szCs w:val="20"/>
      <w:lang w:val="en-GB" w:eastAsia="zh-CN" w:bidi="hi-IN"/>
    </w:rPr>
  </w:style>
  <w:style w:type="paragraph" w:styleId="a4">
    <w:name w:val="Normal (Web)"/>
    <w:basedOn w:val="a"/>
    <w:qFormat/>
    <w:rsid w:val="00747061"/>
    <w:pPr>
      <w:suppressAutoHyphens/>
      <w:spacing w:before="280" w:after="280"/>
    </w:pPr>
    <w:rPr>
      <w:rFonts w:eastAsia="DejaVu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2026-04-29T15:43:00Z</dcterms:created>
  <dcterms:modified xsi:type="dcterms:W3CDTF">2026-04-30T09:46:00Z</dcterms:modified>
</cp:coreProperties>
</file>