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BEE" w:rsidRDefault="003B1BEE" w:rsidP="003B1B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bookmarkStart w:id="0" w:name="_GoBack"/>
      <w:bookmarkEnd w:id="0"/>
      <w:r>
        <w:rPr>
          <w:b/>
          <w:bCs/>
        </w:rPr>
        <w:t xml:space="preserve">Особенности организации структуры </w:t>
      </w:r>
      <w:proofErr w:type="spellStart"/>
      <w:r>
        <w:rPr>
          <w:b/>
          <w:bCs/>
        </w:rPr>
        <w:t>теломерных</w:t>
      </w:r>
      <w:proofErr w:type="spellEnd"/>
      <w:r>
        <w:rPr>
          <w:b/>
          <w:bCs/>
        </w:rPr>
        <w:t xml:space="preserve"> G-квадруплексов по результатам фрагментного анализа. </w:t>
      </w:r>
      <w:proofErr w:type="spellStart"/>
      <w:r>
        <w:rPr>
          <w:b/>
          <w:bCs/>
          <w:i/>
          <w:iCs/>
        </w:rPr>
        <w:t>In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silico</w:t>
      </w:r>
      <w:proofErr w:type="spellEnd"/>
      <w:r>
        <w:rPr>
          <w:b/>
          <w:bCs/>
        </w:rPr>
        <w:t xml:space="preserve"> исследование.</w:t>
      </w:r>
    </w:p>
    <w:p w:rsidR="003B1BEE" w:rsidRDefault="003B1BEE" w:rsidP="003B1B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vertAlign w:val="superscript"/>
        </w:rPr>
      </w:pPr>
      <w:proofErr w:type="spellStart"/>
      <w:r>
        <w:rPr>
          <w:b/>
          <w:bCs/>
          <w:i/>
          <w:iCs/>
          <w:color w:val="000000"/>
        </w:rPr>
        <w:t>Логвинов</w:t>
      </w:r>
      <w:proofErr w:type="spellEnd"/>
      <w:r>
        <w:rPr>
          <w:b/>
          <w:bCs/>
          <w:i/>
          <w:iCs/>
          <w:color w:val="000000"/>
        </w:rPr>
        <w:t xml:space="preserve"> Д.А.</w:t>
      </w:r>
      <w:r>
        <w:rPr>
          <w:b/>
          <w:bCs/>
          <w:i/>
          <w:iCs/>
          <w:color w:val="000000"/>
          <w:vertAlign w:val="superscript"/>
        </w:rPr>
        <w:t>1</w:t>
      </w:r>
      <w:r>
        <w:rPr>
          <w:b/>
          <w:bCs/>
          <w:i/>
          <w:iCs/>
          <w:color w:val="000000"/>
        </w:rPr>
        <w:t>, Бачурин С.С.</w:t>
      </w:r>
      <w:r>
        <w:rPr>
          <w:b/>
          <w:bCs/>
          <w:i/>
          <w:iCs/>
          <w:color w:val="000000"/>
          <w:vertAlign w:val="superscript"/>
        </w:rPr>
        <w:t>2</w:t>
      </w:r>
      <w:r>
        <w:rPr>
          <w:b/>
          <w:bCs/>
          <w:i/>
          <w:iCs/>
          <w:color w:val="000000"/>
        </w:rPr>
        <w:t>, Клецкий М.Е.</w:t>
      </w:r>
      <w:r>
        <w:rPr>
          <w:b/>
          <w:bCs/>
          <w:i/>
          <w:iCs/>
          <w:color w:val="000000"/>
          <w:vertAlign w:val="superscript"/>
        </w:rPr>
        <w:t>1</w:t>
      </w:r>
    </w:p>
    <w:p w:rsidR="003B1BEE" w:rsidRDefault="003B1BEE" w:rsidP="003B1B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iCs/>
          <w:color w:val="000000"/>
        </w:rPr>
        <w:t xml:space="preserve">Студент, 2 курс магистратуры </w:t>
      </w:r>
    </w:p>
    <w:p w:rsidR="003B1BEE" w:rsidRDefault="003B1BEE" w:rsidP="003B1B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iCs/>
          <w:color w:val="000000"/>
          <w:vertAlign w:val="superscript"/>
        </w:rPr>
        <w:t>1</w:t>
      </w:r>
      <w:r>
        <w:rPr>
          <w:i/>
          <w:iCs/>
          <w:color w:val="000000"/>
        </w:rPr>
        <w:t xml:space="preserve">Южный Федеральный университет, химический факультет, Ростов-на-Дону, Россия </w:t>
      </w:r>
    </w:p>
    <w:p w:rsidR="003B1BEE" w:rsidRDefault="003B1BEE" w:rsidP="003B1B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iCs/>
          <w:color w:val="000000"/>
          <w:vertAlign w:val="superscript"/>
        </w:rPr>
        <w:t>2</w:t>
      </w:r>
      <w:r>
        <w:rPr>
          <w:i/>
          <w:iCs/>
        </w:rPr>
        <w:t>Донской Государственный Технический Университет</w:t>
      </w:r>
      <w:r>
        <w:rPr>
          <w:i/>
          <w:iCs/>
          <w:color w:val="000000"/>
        </w:rPr>
        <w:t xml:space="preserve">, Ростов-на-Дону, Россия </w:t>
      </w:r>
    </w:p>
    <w:p w:rsidR="003B1BEE" w:rsidRDefault="003B1BEE" w:rsidP="003B1B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iCs/>
          <w:color w:val="000000"/>
        </w:rPr>
        <w:t>E-</w:t>
      </w:r>
      <w:proofErr w:type="spellStart"/>
      <w:r>
        <w:rPr>
          <w:i/>
          <w:iCs/>
          <w:color w:val="000000"/>
        </w:rPr>
        <w:t>mail</w:t>
      </w:r>
      <w:proofErr w:type="spellEnd"/>
      <w:r>
        <w:rPr>
          <w:i/>
          <w:iCs/>
          <w:color w:val="000000"/>
        </w:rPr>
        <w:t xml:space="preserve">: </w:t>
      </w:r>
      <w:r w:rsidRPr="0042603A">
        <w:rPr>
          <w:i/>
          <w:iCs/>
          <w:color w:val="000000"/>
          <w:u w:val="single"/>
        </w:rPr>
        <w:t>dlogvinov@sfedu.ru</w:t>
      </w:r>
    </w:p>
    <w:p w:rsidR="003B1BEE" w:rsidRDefault="003B1BEE" w:rsidP="003B1B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В настоящее время одним из социально-значимых заболеваний является онкология. Возможной причиной в сбое работы генетического аппарата явля</w:t>
      </w:r>
      <w:r>
        <w:t>ется разрушение</w:t>
      </w:r>
      <w:r>
        <w:rPr>
          <w:color w:val="000000"/>
        </w:rPr>
        <w:t xml:space="preserve"> G-квадруплекс</w:t>
      </w:r>
      <w:r>
        <w:t>ов</w:t>
      </w:r>
      <w:r>
        <w:rPr>
          <w:color w:val="000000"/>
        </w:rPr>
        <w:t xml:space="preserve"> (G4) </w:t>
      </w:r>
      <w:proofErr w:type="spellStart"/>
      <w:r>
        <w:rPr>
          <w:color w:val="000000"/>
        </w:rPr>
        <w:t>теломер</w:t>
      </w:r>
      <w:proofErr w:type="spellEnd"/>
      <w:r>
        <w:rPr>
          <w:color w:val="000000"/>
        </w:rPr>
        <w:t xml:space="preserve"> – структур, состоящи</w:t>
      </w:r>
      <w:r>
        <w:t>х</w:t>
      </w:r>
      <w:r>
        <w:rPr>
          <w:color w:val="000000"/>
        </w:rPr>
        <w:t xml:space="preserve"> из плоских </w:t>
      </w:r>
      <w:proofErr w:type="spellStart"/>
      <w:r>
        <w:rPr>
          <w:color w:val="000000"/>
        </w:rPr>
        <w:t>тетрад</w:t>
      </w:r>
      <w:proofErr w:type="spellEnd"/>
      <w:r>
        <w:rPr>
          <w:color w:val="000000"/>
        </w:rPr>
        <w:t xml:space="preserve"> гуанинов, стабилизированных ионом K</w:t>
      </w:r>
      <w:r>
        <w:rPr>
          <w:color w:val="000000"/>
          <w:vertAlign w:val="superscript"/>
        </w:rPr>
        <w:t>+</w:t>
      </w:r>
      <w:r>
        <w:t xml:space="preserve">. Они защищают хромосомы от удлинения </w:t>
      </w:r>
      <w:proofErr w:type="spellStart"/>
      <w:r>
        <w:t>теломеразой</w:t>
      </w:r>
      <w:proofErr w:type="spellEnd"/>
      <w:r>
        <w:t>.</w:t>
      </w:r>
    </w:p>
    <w:p w:rsidR="003B1BEE" w:rsidRDefault="003B1BEE" w:rsidP="003B1B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Для изучения </w:t>
      </w:r>
      <w:r>
        <w:t>особенностей организации структуры</w:t>
      </w:r>
      <w:r>
        <w:rPr>
          <w:color w:val="000000"/>
        </w:rPr>
        <w:t xml:space="preserve"> G4 мы провели сери</w:t>
      </w:r>
      <w:r>
        <w:t>ю</w:t>
      </w:r>
      <w:r>
        <w:rPr>
          <w:color w:val="000000"/>
        </w:rPr>
        <w:t xml:space="preserve"> квантово-химических расчётов систем, повторяющих минимальную структуру G4, состоя</w:t>
      </w:r>
      <w:r>
        <w:t xml:space="preserve">щую из двух </w:t>
      </w:r>
      <w:proofErr w:type="spellStart"/>
      <w:r>
        <w:t>тетрад</w:t>
      </w:r>
      <w:proofErr w:type="spellEnd"/>
      <w:r>
        <w:t xml:space="preserve"> с катионом K</w:t>
      </w:r>
      <w:r>
        <w:rPr>
          <w:vertAlign w:val="superscript"/>
        </w:rPr>
        <w:t>+</w:t>
      </w:r>
      <w:r>
        <w:rPr>
          <w:color w:val="000000"/>
        </w:rPr>
        <w:t xml:space="preserve">. </w:t>
      </w:r>
      <w:proofErr w:type="spellStart"/>
      <w:r>
        <w:rPr>
          <w:color w:val="000000"/>
        </w:rPr>
        <w:t>Лиганды</w:t>
      </w:r>
      <w:proofErr w:type="spellEnd"/>
      <w:r>
        <w:rPr>
          <w:color w:val="000000"/>
        </w:rPr>
        <w:t xml:space="preserve"> были выбраны в </w:t>
      </w:r>
      <w:r>
        <w:t>подобие</w:t>
      </w:r>
      <w:r>
        <w:rPr>
          <w:color w:val="000000"/>
        </w:rPr>
        <w:t xml:space="preserve"> структурным фрагментам </w:t>
      </w:r>
      <w:proofErr w:type="spellStart"/>
      <w:r>
        <w:rPr>
          <w:color w:val="000000"/>
        </w:rPr>
        <w:t>метилгуанина</w:t>
      </w:r>
      <w:proofErr w:type="spellEnd"/>
      <w:r>
        <w:rPr>
          <w:color w:val="000000"/>
        </w:rPr>
        <w:t xml:space="preserve"> </w:t>
      </w:r>
      <w:r>
        <w:t>(Рис. 1.)</w:t>
      </w:r>
      <w:r>
        <w:rPr>
          <w:color w:val="000000"/>
        </w:rPr>
        <w:t xml:space="preserve">. </w:t>
      </w:r>
    </w:p>
    <w:tbl>
      <w:tblPr>
        <w:tblW w:w="9173" w:type="dxa"/>
        <w:jc w:val="center"/>
        <w:tblLayout w:type="fixed"/>
        <w:tblLook w:val="0400" w:firstRow="0" w:lastRow="0" w:firstColumn="0" w:lastColumn="0" w:noHBand="0" w:noVBand="1"/>
      </w:tblPr>
      <w:tblGrid>
        <w:gridCol w:w="996"/>
        <w:gridCol w:w="1170"/>
        <w:gridCol w:w="1233"/>
        <w:gridCol w:w="1848"/>
        <w:gridCol w:w="1728"/>
        <w:gridCol w:w="2198"/>
      </w:tblGrid>
      <w:tr w:rsidR="003B1BEE" w:rsidTr="00A304D1">
        <w:trPr>
          <w:trHeight w:val="785"/>
          <w:jc w:val="center"/>
        </w:trPr>
        <w:tc>
          <w:tcPr>
            <w:tcW w:w="997" w:type="dxa"/>
            <w:vAlign w:val="center"/>
          </w:tcPr>
          <w:p w:rsidR="003B1BEE" w:rsidRDefault="003B1BEE" w:rsidP="00A304D1">
            <w:pPr>
              <w:jc w:val="center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4B258952" wp14:editId="7A11E6AD">
                  <wp:extent cx="490239" cy="321720"/>
                  <wp:effectExtent l="0" t="0" r="0" b="0"/>
                  <wp:docPr id="1938504023" name="image2.png" descr="Изображение выглядит как снимок экрана, Прямоугольник&#10;&#10;Содержимое, созданное искусственным интеллектом, может быть неверным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 descr="Изображение выглядит как снимок экрана, Прямоугольник&#10;&#10;Содержимое, созданное искусственным интеллектом, может быть неверным."/>
                          <pic:cNvPicPr preferRelativeResize="0"/>
                        </pic:nvPicPr>
                        <pic:blipFill>
                          <a:blip r:embed="rId4"/>
                          <a:srcRect t="14548" r="91638" b="689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0239" cy="32172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0" w:type="dxa"/>
            <w:vAlign w:val="center"/>
          </w:tcPr>
          <w:p w:rsidR="003B1BEE" w:rsidRDefault="003B1BEE" w:rsidP="00A304D1">
            <w:pPr>
              <w:jc w:val="center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1BCB7D86" wp14:editId="689B4F20">
                  <wp:extent cx="584840" cy="507286"/>
                  <wp:effectExtent l="0" t="0" r="0" b="0"/>
                  <wp:docPr id="1938504025" name="image1.png" descr="Изображение выглядит как снимок экрана&#10;&#10;Содержимое, созданное искусственным интеллектом, может быть неверным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Изображение выглядит как снимок экрана&#10;&#10;Содержимое, созданное искусственным интеллектом, может быть неверным."/>
                          <pic:cNvPicPr preferRelativeResize="0"/>
                        </pic:nvPicPr>
                        <pic:blipFill>
                          <a:blip r:embed="rId5"/>
                          <a:srcRect l="16155" t="13943" r="73150" b="581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840" cy="50728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33" w:type="dxa"/>
            <w:vAlign w:val="center"/>
          </w:tcPr>
          <w:p w:rsidR="003B1BEE" w:rsidRDefault="003B1BEE" w:rsidP="00A304D1">
            <w:pPr>
              <w:jc w:val="center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29376979" wp14:editId="4DD6218B">
                  <wp:extent cx="623705" cy="577098"/>
                  <wp:effectExtent l="0" t="0" r="0" b="0"/>
                  <wp:docPr id="1938504024" name="image1.png" descr="Изображение выглядит как снимок экрана&#10;&#10;Содержимое, созданное искусственным интеллектом, может быть неверным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Изображение выглядит как снимок экрана&#10;&#10;Содержимое, созданное искусственным интеллектом, может быть неверным."/>
                          <pic:cNvPicPr preferRelativeResize="0"/>
                        </pic:nvPicPr>
                        <pic:blipFill>
                          <a:blip r:embed="rId5"/>
                          <a:srcRect l="39976" t="14308" r="49622" b="567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3705" cy="57709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8" w:type="dxa"/>
            <w:vAlign w:val="center"/>
          </w:tcPr>
          <w:p w:rsidR="003B1BEE" w:rsidRDefault="003B1BEE" w:rsidP="00A304D1">
            <w:pPr>
              <w:jc w:val="center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2AD1C27D" wp14:editId="4C1F0BF4">
                  <wp:extent cx="1043665" cy="820479"/>
                  <wp:effectExtent l="0" t="0" r="0" b="0"/>
                  <wp:docPr id="1938504027" name="image1.png" descr="Изображение выглядит как снимок экрана&#10;&#10;Содержимое, созданное искусственным интеллектом, может быть неверным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Изображение выглядит как снимок экрана&#10;&#10;Содержимое, созданное искусственным интеллектом, может быть неверным."/>
                          <pic:cNvPicPr preferRelativeResize="0"/>
                        </pic:nvPicPr>
                        <pic:blipFill>
                          <a:blip r:embed="rId5"/>
                          <a:srcRect l="59636" r="22807" b="584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3665" cy="82047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8" w:type="dxa"/>
            <w:vAlign w:val="center"/>
          </w:tcPr>
          <w:p w:rsidR="003B1BEE" w:rsidRDefault="003B1BEE" w:rsidP="00A304D1">
            <w:pPr>
              <w:jc w:val="center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5E1A619C" wp14:editId="351F92F0">
                  <wp:extent cx="965596" cy="874647"/>
                  <wp:effectExtent l="0" t="0" r="0" b="0"/>
                  <wp:docPr id="1938504026" name="image1.png" descr="Изображение выглядит как снимок экрана&#10;&#10;Содержимое, созданное искусственным интеллектом, может быть неверным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Изображение выглядит как снимок экрана&#10;&#10;Содержимое, созданное искусственным интеллектом, может быть неверным."/>
                          <pic:cNvPicPr preferRelativeResize="0"/>
                        </pic:nvPicPr>
                        <pic:blipFill>
                          <a:blip r:embed="rId5"/>
                          <a:srcRect l="80760" r="3218" b="563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596" cy="87464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98" w:type="dxa"/>
            <w:vAlign w:val="center"/>
          </w:tcPr>
          <w:p w:rsidR="003B1BEE" w:rsidRDefault="003B1BEE" w:rsidP="00A304D1">
            <w:pPr>
              <w:jc w:val="center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1754BEEE" wp14:editId="292D7DB7">
                  <wp:extent cx="1153045" cy="1005222"/>
                  <wp:effectExtent l="0" t="0" r="0" b="0"/>
                  <wp:docPr id="1938504028" name="image3.png" descr="Изображение выглядит как снимок экрана, Шрифт&#10;&#10;Содержимое, созданное искусственным интеллектом, может быть неверным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 descr="Изображение выглядит как снимок экрана, Шрифт&#10;&#10;Содержимое, созданное искусственным интеллектом, может быть неверным.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3045" cy="100522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1BEE" w:rsidTr="00A304D1">
        <w:trPr>
          <w:trHeight w:val="23"/>
          <w:jc w:val="center"/>
        </w:trPr>
        <w:tc>
          <w:tcPr>
            <w:tcW w:w="997" w:type="dxa"/>
          </w:tcPr>
          <w:p w:rsidR="003B1BEE" w:rsidRDefault="003B1BEE" w:rsidP="00A304D1">
            <w:pPr>
              <w:jc w:val="center"/>
              <w:rPr>
                <w:b/>
                <w:bCs/>
                <w:color w:val="000000"/>
                <w:vertAlign w:val="subscript"/>
              </w:rPr>
            </w:pPr>
            <w:r>
              <w:rPr>
                <w:b/>
                <w:bCs/>
                <w:color w:val="000000"/>
              </w:rPr>
              <w:t>L</w:t>
            </w:r>
            <w:r>
              <w:rPr>
                <w:b/>
                <w:bCs/>
                <w:color w:val="000000"/>
                <w:vertAlign w:val="subscript"/>
              </w:rPr>
              <w:t>0</w:t>
            </w:r>
          </w:p>
        </w:tc>
        <w:tc>
          <w:tcPr>
            <w:tcW w:w="1170" w:type="dxa"/>
          </w:tcPr>
          <w:p w:rsidR="003B1BEE" w:rsidRDefault="003B1BEE" w:rsidP="00A304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</w:t>
            </w:r>
            <w:r>
              <w:rPr>
                <w:b/>
                <w:bCs/>
                <w:color w:val="000000"/>
                <w:vertAlign w:val="subscript"/>
              </w:rPr>
              <w:t>1</w:t>
            </w:r>
          </w:p>
        </w:tc>
        <w:tc>
          <w:tcPr>
            <w:tcW w:w="1233" w:type="dxa"/>
          </w:tcPr>
          <w:p w:rsidR="003B1BEE" w:rsidRDefault="003B1BEE" w:rsidP="00A304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</w:t>
            </w:r>
            <w:r>
              <w:rPr>
                <w:b/>
                <w:bCs/>
                <w:color w:val="000000"/>
                <w:vertAlign w:val="subscript"/>
              </w:rPr>
              <w:t>2</w:t>
            </w:r>
          </w:p>
        </w:tc>
        <w:tc>
          <w:tcPr>
            <w:tcW w:w="1848" w:type="dxa"/>
          </w:tcPr>
          <w:p w:rsidR="003B1BEE" w:rsidRDefault="003B1BEE" w:rsidP="00A304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</w:t>
            </w:r>
            <w:r>
              <w:rPr>
                <w:b/>
                <w:bCs/>
                <w:color w:val="000000"/>
                <w:vertAlign w:val="subscript"/>
              </w:rPr>
              <w:t>3</w:t>
            </w:r>
          </w:p>
        </w:tc>
        <w:tc>
          <w:tcPr>
            <w:tcW w:w="1728" w:type="dxa"/>
          </w:tcPr>
          <w:p w:rsidR="003B1BEE" w:rsidRDefault="003B1BEE" w:rsidP="00A304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</w:t>
            </w:r>
            <w:r>
              <w:rPr>
                <w:b/>
                <w:bCs/>
                <w:color w:val="000000"/>
                <w:vertAlign w:val="subscript"/>
              </w:rPr>
              <w:t>4</w:t>
            </w:r>
          </w:p>
        </w:tc>
        <w:tc>
          <w:tcPr>
            <w:tcW w:w="2198" w:type="dxa"/>
          </w:tcPr>
          <w:p w:rsidR="003B1BEE" w:rsidRDefault="003B1BEE" w:rsidP="00A304D1">
            <w:pPr>
              <w:jc w:val="center"/>
              <w:rPr>
                <w:b/>
                <w:bCs/>
                <w:color w:val="000000"/>
                <w:vertAlign w:val="subscript"/>
              </w:rPr>
            </w:pPr>
            <w:r>
              <w:rPr>
                <w:b/>
                <w:bCs/>
                <w:color w:val="000000"/>
              </w:rPr>
              <w:t>L</w:t>
            </w:r>
            <w:r>
              <w:rPr>
                <w:b/>
                <w:bCs/>
                <w:color w:val="000000"/>
                <w:vertAlign w:val="subscript"/>
              </w:rPr>
              <w:t>5</w:t>
            </w:r>
          </w:p>
        </w:tc>
      </w:tr>
    </w:tbl>
    <w:p w:rsidR="003B1BEE" w:rsidRDefault="003B1BEE" w:rsidP="003B1B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color w:val="000000"/>
        </w:rPr>
        <w:t xml:space="preserve">Рис. 1. </w:t>
      </w:r>
      <w:proofErr w:type="spellStart"/>
      <w:r>
        <w:rPr>
          <w:color w:val="000000"/>
        </w:rPr>
        <w:t>Лиганды</w:t>
      </w:r>
      <w:proofErr w:type="spellEnd"/>
      <w:r>
        <w:rPr>
          <w:color w:val="000000"/>
        </w:rPr>
        <w:t>, использованные для моделирования структуры G4</w:t>
      </w:r>
    </w:p>
    <w:p w:rsidR="003B1BEE" w:rsidRDefault="003B1BEE" w:rsidP="003B1B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>Квантово-химические расчёты проводили в ПО</w:t>
      </w:r>
      <w:r>
        <w:rPr>
          <w:color w:val="000000"/>
        </w:rPr>
        <w:t xml:space="preserve"> ORCA 6</w:t>
      </w:r>
      <w:r>
        <w:t>.0.1</w:t>
      </w:r>
      <w:r>
        <w:rPr>
          <w:color w:val="000000"/>
        </w:rPr>
        <w:t xml:space="preserve">, </w:t>
      </w:r>
      <w:r>
        <w:t xml:space="preserve">в функционале </w:t>
      </w:r>
      <w:r>
        <w:rPr>
          <w:color w:val="000000"/>
        </w:rPr>
        <w:t>ωB97X-D4, базис def2-TZVP</w:t>
      </w:r>
      <w:r>
        <w:t>, учет растворителя (вода) методом CPCM, расчёт волновой функции финальной геометрии в базисе</w:t>
      </w:r>
      <w:r>
        <w:rPr>
          <w:color w:val="000000"/>
        </w:rPr>
        <w:t xml:space="preserve"> def2-TZVPP. В </w:t>
      </w:r>
      <w:r>
        <w:t>ПО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MultiWFN</w:t>
      </w:r>
      <w:proofErr w:type="spellEnd"/>
      <w:r>
        <w:rPr>
          <w:color w:val="000000"/>
        </w:rPr>
        <w:t xml:space="preserve"> </w:t>
      </w:r>
      <w:r>
        <w:t>3.8</w:t>
      </w:r>
      <w:r>
        <w:rPr>
          <w:color w:val="000000"/>
        </w:rPr>
        <w:t xml:space="preserve"> </w:t>
      </w:r>
      <w:r>
        <w:t>были вычислены</w:t>
      </w:r>
      <w:r>
        <w:rPr>
          <w:color w:val="000000"/>
        </w:rPr>
        <w:t xml:space="preserve"> </w:t>
      </w:r>
      <w:r>
        <w:t>индексы силы связей (IBSI).</w:t>
      </w:r>
    </w:p>
    <w:p w:rsidR="003B1BEE" w:rsidRDefault="003B1BEE" w:rsidP="003B1B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rPr>
          <w:color w:val="000000"/>
        </w:rPr>
        <w:t>Таблица 1. Данные, полученные для систем с ионом K</w:t>
      </w:r>
      <w:r>
        <w:rPr>
          <w:color w:val="000000"/>
          <w:vertAlign w:val="superscript"/>
        </w:rPr>
        <w:t>+</w:t>
      </w:r>
    </w:p>
    <w:tbl>
      <w:tblPr>
        <w:tblW w:w="9135" w:type="dxa"/>
        <w:tblInd w:w="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62"/>
        <w:gridCol w:w="1213"/>
        <w:gridCol w:w="1212"/>
        <w:gridCol w:w="1212"/>
        <w:gridCol w:w="1212"/>
        <w:gridCol w:w="1212"/>
        <w:gridCol w:w="1212"/>
      </w:tblGrid>
      <w:tr w:rsidR="003B1BEE" w:rsidTr="00A304D1">
        <w:trPr>
          <w:trHeight w:val="340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3B1BEE" w:rsidRDefault="003B1BEE" w:rsidP="00A304D1">
            <w:pPr>
              <w:shd w:val="clear" w:color="auto" w:fill="FFFFFF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Лиганд</w:t>
            </w:r>
            <w:proofErr w:type="spellEnd"/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3B1BEE" w:rsidRDefault="003B1BEE" w:rsidP="00A304D1">
            <w:pPr>
              <w:shd w:val="clear" w:color="auto" w:fill="FFFFFF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</w:t>
            </w:r>
            <w:r>
              <w:rPr>
                <w:b/>
                <w:bCs/>
                <w:vertAlign w:val="subscript"/>
              </w:rPr>
              <w:t>0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3B1BEE" w:rsidRDefault="003B1BEE" w:rsidP="00A304D1">
            <w:pPr>
              <w:shd w:val="clear" w:color="auto" w:fill="FFFFFF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</w:t>
            </w:r>
            <w:r>
              <w:rPr>
                <w:b/>
                <w:bCs/>
                <w:vertAlign w:val="subscript"/>
              </w:rPr>
              <w:t>1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3B1BEE" w:rsidRDefault="003B1BEE" w:rsidP="00A304D1">
            <w:pPr>
              <w:shd w:val="clear" w:color="auto" w:fill="FFFFFF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</w:t>
            </w:r>
            <w:r>
              <w:rPr>
                <w:b/>
                <w:bCs/>
                <w:vertAlign w:val="subscript"/>
              </w:rPr>
              <w:t>2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3B1BEE" w:rsidRDefault="003B1BEE" w:rsidP="00A304D1">
            <w:pPr>
              <w:shd w:val="clear" w:color="auto" w:fill="FFFFFF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</w:t>
            </w:r>
            <w:r>
              <w:rPr>
                <w:b/>
                <w:bCs/>
                <w:vertAlign w:val="subscript"/>
              </w:rPr>
              <w:t>3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3B1BEE" w:rsidRDefault="003B1BEE" w:rsidP="00A304D1">
            <w:pPr>
              <w:shd w:val="clear" w:color="auto" w:fill="FFFFFF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</w:t>
            </w:r>
            <w:r>
              <w:rPr>
                <w:b/>
                <w:bCs/>
                <w:vertAlign w:val="subscript"/>
              </w:rPr>
              <w:t>4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3B1BEE" w:rsidRDefault="003B1BEE" w:rsidP="00A304D1">
            <w:pPr>
              <w:shd w:val="clear" w:color="auto" w:fill="FFFFFF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</w:t>
            </w:r>
            <w:r>
              <w:rPr>
                <w:b/>
                <w:bCs/>
                <w:vertAlign w:val="subscript"/>
              </w:rPr>
              <w:t>5</w:t>
            </w:r>
          </w:p>
        </w:tc>
      </w:tr>
      <w:tr w:rsidR="003B1BEE" w:rsidTr="00A304D1">
        <w:trPr>
          <w:trHeight w:val="340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3B1BEE" w:rsidRDefault="003B1BEE" w:rsidP="00A304D1">
            <w:pPr>
              <w:shd w:val="clear" w:color="auto" w:fill="FFFFFF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E</w:t>
            </w:r>
            <w:r>
              <w:rPr>
                <w:b/>
                <w:bCs/>
                <w:vertAlign w:val="subscript"/>
              </w:rPr>
              <w:t>стаб</w:t>
            </w:r>
            <w:proofErr w:type="spellEnd"/>
            <w:r>
              <w:rPr>
                <w:b/>
                <w:bCs/>
              </w:rPr>
              <w:t>, ккал/моль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3B1BEE" w:rsidRDefault="003B1BEE" w:rsidP="00A304D1">
            <w:pPr>
              <w:shd w:val="clear" w:color="auto" w:fill="FFFFFF"/>
              <w:jc w:val="center"/>
            </w:pPr>
            <w:r>
              <w:t>-36,72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3B1BEE" w:rsidRDefault="003B1BEE" w:rsidP="00A304D1">
            <w:pPr>
              <w:shd w:val="clear" w:color="auto" w:fill="FFFFFF"/>
              <w:jc w:val="center"/>
            </w:pPr>
            <w:r>
              <w:t>-94,32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3B1BEE" w:rsidRDefault="003B1BEE" w:rsidP="00A304D1">
            <w:pPr>
              <w:shd w:val="clear" w:color="auto" w:fill="FFFFFF"/>
              <w:jc w:val="center"/>
            </w:pPr>
            <w:r>
              <w:t>-103,85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3B1BEE" w:rsidRDefault="003B1BEE" w:rsidP="00A304D1">
            <w:pPr>
              <w:shd w:val="clear" w:color="auto" w:fill="FFFFFF"/>
              <w:jc w:val="center"/>
            </w:pPr>
            <w:r>
              <w:t>-102,73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3B1BEE" w:rsidRDefault="003B1BEE" w:rsidP="00A304D1">
            <w:pPr>
              <w:shd w:val="clear" w:color="auto" w:fill="FFFFFF"/>
              <w:jc w:val="center"/>
            </w:pPr>
            <w:r>
              <w:t>-76,12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3B1BEE" w:rsidRDefault="003B1BEE" w:rsidP="00A304D1">
            <w:pPr>
              <w:shd w:val="clear" w:color="auto" w:fill="FFFFFF"/>
              <w:jc w:val="center"/>
            </w:pPr>
            <w:r>
              <w:t>-108,30</w:t>
            </w:r>
          </w:p>
        </w:tc>
      </w:tr>
      <w:tr w:rsidR="003B1BEE" w:rsidTr="00A304D1">
        <w:trPr>
          <w:trHeight w:val="340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3B1BEE" w:rsidRDefault="003B1BEE" w:rsidP="00A304D1">
            <w:pPr>
              <w:shd w:val="clear" w:color="auto" w:fill="FFFFFF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 (K-</w:t>
            </w:r>
            <w:proofErr w:type="gramStart"/>
            <w:r>
              <w:rPr>
                <w:b/>
                <w:bCs/>
              </w:rPr>
              <w:t>O)</w:t>
            </w:r>
            <w:r>
              <w:rPr>
                <w:b/>
                <w:bCs/>
                <w:vertAlign w:val="subscript"/>
              </w:rPr>
              <w:t>ср</w:t>
            </w:r>
            <w:proofErr w:type="gramEnd"/>
            <w:r>
              <w:rPr>
                <w:b/>
                <w:bCs/>
              </w:rPr>
              <w:t>, Å</w:t>
            </w:r>
          </w:p>
          <w:p w:rsidR="003B1BEE" w:rsidRDefault="003B1BEE" w:rsidP="00A304D1">
            <w:pPr>
              <w:shd w:val="clear" w:color="auto" w:fill="FFFFFF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proofErr w:type="spellStart"/>
            <w:r>
              <w:rPr>
                <w:b/>
                <w:bCs/>
              </w:rPr>
              <w:t>m±σ</w:t>
            </w:r>
            <w:proofErr w:type="spellEnd"/>
            <w:r>
              <w:rPr>
                <w:b/>
                <w:bCs/>
              </w:rPr>
              <w:t>)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3B1BEE" w:rsidRPr="00EE0BC9" w:rsidRDefault="003B1BEE" w:rsidP="00A304D1">
            <w:pPr>
              <w:shd w:val="clear" w:color="auto" w:fill="FFFFFF"/>
              <w:jc w:val="center"/>
            </w:pPr>
            <w:r>
              <w:t>3,490</w:t>
            </w:r>
          </w:p>
          <w:p w:rsidR="003B1BEE" w:rsidRDefault="003B1BEE" w:rsidP="00A304D1">
            <w:pPr>
              <w:shd w:val="clear" w:color="auto" w:fill="FFFFFF"/>
              <w:jc w:val="center"/>
            </w:pPr>
            <w:r>
              <w:t>±0,000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3B1BEE" w:rsidRDefault="003B1BEE" w:rsidP="00A304D1">
            <w:pPr>
              <w:shd w:val="clear" w:color="auto" w:fill="FFFFFF"/>
              <w:jc w:val="center"/>
            </w:pPr>
            <w:r>
              <w:t>2,826</w:t>
            </w:r>
          </w:p>
          <w:p w:rsidR="003B1BEE" w:rsidRDefault="003B1BEE" w:rsidP="00A304D1">
            <w:pPr>
              <w:shd w:val="clear" w:color="auto" w:fill="FFFFFF"/>
              <w:jc w:val="center"/>
            </w:pPr>
            <w:r>
              <w:t>±0,005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3B1BEE" w:rsidRDefault="003B1BEE" w:rsidP="00A304D1">
            <w:pPr>
              <w:shd w:val="clear" w:color="auto" w:fill="FFFFFF"/>
              <w:jc w:val="center"/>
            </w:pPr>
            <w:r>
              <w:t>2,882</w:t>
            </w:r>
          </w:p>
          <w:p w:rsidR="003B1BEE" w:rsidRDefault="003B1BEE" w:rsidP="00A304D1">
            <w:pPr>
              <w:shd w:val="clear" w:color="auto" w:fill="FFFFFF"/>
              <w:jc w:val="center"/>
            </w:pPr>
            <w:r>
              <w:t>±0,007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3B1BEE" w:rsidRDefault="003B1BEE" w:rsidP="00A304D1">
            <w:pPr>
              <w:shd w:val="clear" w:color="auto" w:fill="FFFFFF"/>
              <w:jc w:val="center"/>
            </w:pPr>
            <w:r>
              <w:t>2,811</w:t>
            </w:r>
          </w:p>
          <w:p w:rsidR="003B1BEE" w:rsidRDefault="003B1BEE" w:rsidP="00A304D1">
            <w:pPr>
              <w:shd w:val="clear" w:color="auto" w:fill="FFFFFF"/>
              <w:jc w:val="center"/>
            </w:pPr>
            <w:r>
              <w:t>±0,02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3B1BEE" w:rsidRDefault="003B1BEE" w:rsidP="00A304D1">
            <w:pPr>
              <w:shd w:val="clear" w:color="auto" w:fill="FFFFFF"/>
              <w:jc w:val="center"/>
            </w:pPr>
            <w:r>
              <w:t>2,862</w:t>
            </w:r>
          </w:p>
          <w:p w:rsidR="003B1BEE" w:rsidRDefault="003B1BEE" w:rsidP="00A304D1">
            <w:pPr>
              <w:shd w:val="clear" w:color="auto" w:fill="FFFFFF"/>
              <w:jc w:val="center"/>
            </w:pPr>
            <w:r>
              <w:t>±0,023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3B1BEE" w:rsidRDefault="003B1BEE" w:rsidP="00A304D1">
            <w:pPr>
              <w:shd w:val="clear" w:color="auto" w:fill="FFFFFF"/>
              <w:jc w:val="center"/>
            </w:pPr>
            <w:r>
              <w:t>2,812</w:t>
            </w:r>
          </w:p>
          <w:p w:rsidR="003B1BEE" w:rsidRDefault="003B1BEE" w:rsidP="00A304D1">
            <w:pPr>
              <w:shd w:val="clear" w:color="auto" w:fill="FFFFFF"/>
              <w:jc w:val="center"/>
            </w:pPr>
            <w:r>
              <w:t>±0,001</w:t>
            </w:r>
          </w:p>
        </w:tc>
      </w:tr>
      <w:tr w:rsidR="003B1BEE" w:rsidTr="00A304D1">
        <w:trPr>
          <w:trHeight w:val="340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3B1BEE" w:rsidRPr="00021B40" w:rsidRDefault="003B1BEE" w:rsidP="00A304D1">
            <w:pPr>
              <w:shd w:val="clear" w:color="auto" w:fill="FFFFFF"/>
              <w:jc w:val="center"/>
              <w:rPr>
                <w:b/>
                <w:bCs/>
                <w:vertAlign w:val="subscript"/>
                <w:lang w:val="en-US"/>
              </w:rPr>
            </w:pPr>
            <w:r w:rsidRPr="00021B40">
              <w:rPr>
                <w:b/>
                <w:bCs/>
                <w:lang w:val="en-US"/>
              </w:rPr>
              <w:t>IBSI (K-O)</w:t>
            </w:r>
            <w:r>
              <w:rPr>
                <w:b/>
                <w:bCs/>
                <w:vertAlign w:val="subscript"/>
              </w:rPr>
              <w:t>ср</w:t>
            </w:r>
          </w:p>
          <w:p w:rsidR="003B1BEE" w:rsidRPr="00021B40" w:rsidRDefault="003B1BEE" w:rsidP="00A304D1">
            <w:pPr>
              <w:shd w:val="clear" w:color="auto" w:fill="FFFFFF"/>
              <w:jc w:val="center"/>
              <w:rPr>
                <w:b/>
                <w:bCs/>
                <w:vertAlign w:val="subscript"/>
                <w:lang w:val="en-US"/>
              </w:rPr>
            </w:pPr>
            <w:r w:rsidRPr="00021B40">
              <w:rPr>
                <w:b/>
                <w:bCs/>
                <w:lang w:val="en-US"/>
              </w:rPr>
              <w:t>(m±</w:t>
            </w:r>
            <w:r>
              <w:rPr>
                <w:b/>
                <w:bCs/>
              </w:rPr>
              <w:t>σ</w:t>
            </w:r>
            <w:r w:rsidRPr="00021B40">
              <w:rPr>
                <w:b/>
                <w:bCs/>
                <w:lang w:val="en-US"/>
              </w:rPr>
              <w:t>)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3B1BEE" w:rsidRDefault="003B1BEE" w:rsidP="00A304D1">
            <w:pPr>
              <w:shd w:val="clear" w:color="auto" w:fill="FFFFFF"/>
              <w:jc w:val="center"/>
            </w:pPr>
            <w:r>
              <w:t>0,0022</w:t>
            </w:r>
          </w:p>
          <w:p w:rsidR="003B1BEE" w:rsidRDefault="003B1BEE" w:rsidP="00A304D1">
            <w:pPr>
              <w:shd w:val="clear" w:color="auto" w:fill="FFFFFF"/>
              <w:jc w:val="center"/>
            </w:pPr>
            <w:r>
              <w:t>±0,0000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3B1BEE" w:rsidRDefault="003B1BEE" w:rsidP="00A304D1">
            <w:pPr>
              <w:shd w:val="clear" w:color="auto" w:fill="FFFFFF"/>
              <w:jc w:val="center"/>
            </w:pPr>
            <w:r>
              <w:t>0,0133</w:t>
            </w:r>
          </w:p>
          <w:p w:rsidR="003B1BEE" w:rsidRDefault="003B1BEE" w:rsidP="00A304D1">
            <w:pPr>
              <w:shd w:val="clear" w:color="auto" w:fill="FFFFFF"/>
              <w:jc w:val="center"/>
            </w:pPr>
            <w:r>
              <w:t>±0,0001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3B1BEE" w:rsidRDefault="003B1BEE" w:rsidP="00A304D1">
            <w:pPr>
              <w:shd w:val="clear" w:color="auto" w:fill="FFFFFF"/>
              <w:jc w:val="center"/>
            </w:pPr>
            <w:r>
              <w:t>0,0122</w:t>
            </w:r>
          </w:p>
          <w:p w:rsidR="003B1BEE" w:rsidRDefault="003B1BEE" w:rsidP="00A304D1">
            <w:pPr>
              <w:shd w:val="clear" w:color="auto" w:fill="FFFFFF"/>
              <w:jc w:val="center"/>
            </w:pPr>
            <w:r>
              <w:t>±0,0002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3B1BEE" w:rsidRDefault="003B1BEE" w:rsidP="00A304D1">
            <w:pPr>
              <w:shd w:val="clear" w:color="auto" w:fill="FFFFFF"/>
              <w:jc w:val="center"/>
            </w:pPr>
            <w:r>
              <w:t>0,0147</w:t>
            </w:r>
          </w:p>
          <w:p w:rsidR="003B1BEE" w:rsidRDefault="003B1BEE" w:rsidP="00A304D1">
            <w:pPr>
              <w:shd w:val="clear" w:color="auto" w:fill="FFFFFF"/>
              <w:jc w:val="center"/>
            </w:pPr>
            <w:r>
              <w:t>±0,0007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3B1BEE" w:rsidRDefault="003B1BEE" w:rsidP="00A304D1">
            <w:pPr>
              <w:shd w:val="clear" w:color="auto" w:fill="FFFFFF"/>
              <w:jc w:val="center"/>
            </w:pPr>
            <w:r>
              <w:t>0,0128</w:t>
            </w:r>
          </w:p>
          <w:p w:rsidR="003B1BEE" w:rsidRDefault="003B1BEE" w:rsidP="00A304D1">
            <w:pPr>
              <w:shd w:val="clear" w:color="auto" w:fill="FFFFFF"/>
              <w:jc w:val="center"/>
            </w:pPr>
            <w:r>
              <w:t>±0,0009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3B1BEE" w:rsidRDefault="003B1BEE" w:rsidP="00A304D1">
            <w:pPr>
              <w:shd w:val="clear" w:color="auto" w:fill="FFFFFF"/>
              <w:jc w:val="center"/>
            </w:pPr>
            <w:r>
              <w:t>0,0147</w:t>
            </w:r>
          </w:p>
          <w:p w:rsidR="003B1BEE" w:rsidRDefault="003B1BEE" w:rsidP="00A304D1">
            <w:pPr>
              <w:shd w:val="clear" w:color="auto" w:fill="FFFFFF"/>
              <w:jc w:val="center"/>
            </w:pPr>
            <w:r>
              <w:t>±0,0000</w:t>
            </w:r>
          </w:p>
        </w:tc>
      </w:tr>
    </w:tbl>
    <w:p w:rsidR="003B1BEE" w:rsidRDefault="003B1BEE" w:rsidP="003B1B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b/>
          <w:bCs/>
        </w:rPr>
      </w:pPr>
      <w:r>
        <w:t xml:space="preserve">Среднее значение длины  (табл. 1) слабой </w:t>
      </w:r>
      <w:proofErr w:type="spellStart"/>
      <w:r>
        <w:t>нековалентной</w:t>
      </w:r>
      <w:proofErr w:type="spellEnd"/>
      <w:r>
        <w:t xml:space="preserve"> связи K-O [1] в комплексе с </w:t>
      </w:r>
      <w:proofErr w:type="spellStart"/>
      <w:r>
        <w:t>метилгуанином</w:t>
      </w:r>
      <w:proofErr w:type="spellEnd"/>
      <w:r>
        <w:t xml:space="preserve"> (L</w:t>
      </w:r>
      <w:r>
        <w:rPr>
          <w:vertAlign w:val="subscript"/>
        </w:rPr>
        <w:t>5</w:t>
      </w:r>
      <w:r>
        <w:t>) совпадает со значением (2,802</w:t>
      </w:r>
      <w:hyperlink r:id="rId7">
        <w:r>
          <w:t>Å</w:t>
        </w:r>
      </w:hyperlink>
      <w:r>
        <w:t>) в системе 6JJE [2]. Это подтверждает корректность выбранной расчетной схемы. Наблюдается важная закономерность в росте среднеквадратичного отклонения в длинах и IBSI связей в системах L</w:t>
      </w:r>
      <w:r>
        <w:rPr>
          <w:vertAlign w:val="subscript"/>
        </w:rPr>
        <w:t>1</w:t>
      </w:r>
      <w:r>
        <w:t>-L</w:t>
      </w:r>
      <w:r>
        <w:rPr>
          <w:vertAlign w:val="subscript"/>
        </w:rPr>
        <w:t>4</w:t>
      </w:r>
      <w:r>
        <w:t>: окружение иона K</w:t>
      </w:r>
      <w:r>
        <w:rPr>
          <w:vertAlign w:val="superscript"/>
        </w:rPr>
        <w:t>+</w:t>
      </w:r>
      <w:r>
        <w:t xml:space="preserve"> не может собраться в симметричную структуру, в отличие от L</w:t>
      </w:r>
      <w:r>
        <w:rPr>
          <w:vertAlign w:val="subscript"/>
        </w:rPr>
        <w:t>5</w:t>
      </w:r>
      <w:r>
        <w:t>. Для L</w:t>
      </w:r>
      <w:r>
        <w:rPr>
          <w:vertAlign w:val="subscript"/>
        </w:rPr>
        <w:t>3</w:t>
      </w:r>
      <w:r>
        <w:t xml:space="preserve"> и L</w:t>
      </w:r>
      <w:r>
        <w:rPr>
          <w:vertAlign w:val="subscript"/>
        </w:rPr>
        <w:t xml:space="preserve">5 </w:t>
      </w:r>
      <w:r>
        <w:t xml:space="preserve">оказались сопоставимы все вычисленные параметры. Это связано с тем, что для них образуется одинаковое и наибольшее количество H-связей внутри системы. Вклад </w:t>
      </w:r>
      <w:proofErr w:type="spellStart"/>
      <w:r>
        <w:t>стэкинг</w:t>
      </w:r>
      <w:proofErr w:type="spellEnd"/>
      <w:r>
        <w:t xml:space="preserve">-взаимодействия реализуется в G4 благодаря водородным связям. В их отсутствие </w:t>
      </w:r>
      <w:proofErr w:type="spellStart"/>
      <w:r>
        <w:t>стэкинг</w:t>
      </w:r>
      <w:proofErr w:type="spellEnd"/>
      <w:r>
        <w:t xml:space="preserve"> (система L</w:t>
      </w:r>
      <w:r>
        <w:rPr>
          <w:vertAlign w:val="subscript"/>
        </w:rPr>
        <w:t>4</w:t>
      </w:r>
      <w:r>
        <w:t xml:space="preserve">) не способен сформировать корректную геометрию комплекса. В структуре G4 гуанины удерживаются параллельно друг другу водородными связями, усиленными </w:t>
      </w:r>
      <w:proofErr w:type="spellStart"/>
      <w:r>
        <w:t>стэкинг</w:t>
      </w:r>
      <w:proofErr w:type="spellEnd"/>
      <w:r>
        <w:t>-эффектом в ~6 ккал/моль (</w:t>
      </w:r>
      <w:proofErr w:type="spellStart"/>
      <w:r>
        <w:t>ΔE</w:t>
      </w:r>
      <w:r>
        <w:rPr>
          <w:vertAlign w:val="subscript"/>
        </w:rPr>
        <w:t>стаб</w:t>
      </w:r>
      <w:proofErr w:type="spellEnd"/>
      <w:r>
        <w:t xml:space="preserve"> L</w:t>
      </w:r>
      <w:r>
        <w:rPr>
          <w:vertAlign w:val="subscript"/>
        </w:rPr>
        <w:t>3</w:t>
      </w:r>
      <w:r>
        <w:t xml:space="preserve"> и L</w:t>
      </w:r>
      <w:r>
        <w:rPr>
          <w:vertAlign w:val="subscript"/>
        </w:rPr>
        <w:t>5</w:t>
      </w:r>
      <w:r>
        <w:t xml:space="preserve">). </w:t>
      </w:r>
    </w:p>
    <w:p w:rsidR="003B1BEE" w:rsidRPr="00021B40" w:rsidRDefault="003B1BEE" w:rsidP="003B1B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bCs/>
          <w:color w:val="000000"/>
        </w:rPr>
        <w:t>Литература</w:t>
      </w:r>
    </w:p>
    <w:p w:rsidR="003B1BEE" w:rsidRPr="00021B40" w:rsidRDefault="003B1BEE" w:rsidP="003B1B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021B40">
        <w:rPr>
          <w:color w:val="000000"/>
          <w:lang w:val="en-US"/>
        </w:rPr>
        <w:t>1.</w:t>
      </w:r>
      <w:r w:rsidRPr="00021B40">
        <w:rPr>
          <w:rFonts w:ascii="Arial" w:eastAsia="Arial" w:hAnsi="Arial" w:cs="Arial"/>
          <w:color w:val="222222"/>
          <w:sz w:val="20"/>
          <w:szCs w:val="20"/>
          <w:highlight w:val="white"/>
          <w:lang w:val="en-US"/>
        </w:rPr>
        <w:t xml:space="preserve"> </w:t>
      </w:r>
      <w:r w:rsidRPr="00021B40">
        <w:rPr>
          <w:color w:val="000000"/>
          <w:lang w:val="en-US"/>
        </w:rPr>
        <w:t xml:space="preserve">Lu T. M. Software manual //Version. – 2014. – </w:t>
      </w:r>
      <w:r>
        <w:rPr>
          <w:color w:val="000000"/>
        </w:rPr>
        <w:t>Т</w:t>
      </w:r>
      <w:r w:rsidRPr="00021B40">
        <w:rPr>
          <w:color w:val="000000"/>
          <w:lang w:val="en-US"/>
        </w:rPr>
        <w:t>. 3. – №. 6.</w:t>
      </w:r>
    </w:p>
    <w:p w:rsidR="00D77996" w:rsidRDefault="003B1BEE" w:rsidP="003B1BEE">
      <w:r w:rsidRPr="00021B40">
        <w:rPr>
          <w:color w:val="000000"/>
          <w:lang w:val="en-US"/>
        </w:rPr>
        <w:t xml:space="preserve">2. </w:t>
      </w:r>
      <w:r w:rsidRPr="00021B40">
        <w:rPr>
          <w:lang w:val="en-US"/>
        </w:rPr>
        <w:t>Geng Y. et al. The crystal structure of an antiparallel chair-type G-</w:t>
      </w:r>
      <w:proofErr w:type="spellStart"/>
      <w:r w:rsidRPr="00021B40">
        <w:rPr>
          <w:lang w:val="en-US"/>
        </w:rPr>
        <w:t>quadruplex</w:t>
      </w:r>
      <w:proofErr w:type="spellEnd"/>
      <w:r w:rsidRPr="00021B40">
        <w:rPr>
          <w:lang w:val="en-US"/>
        </w:rPr>
        <w:t xml:space="preserve"> formed by </w:t>
      </w:r>
      <w:proofErr w:type="spellStart"/>
      <w:r w:rsidRPr="00021B40">
        <w:rPr>
          <w:lang w:val="en-US"/>
        </w:rPr>
        <w:t>Bromo</w:t>
      </w:r>
      <w:proofErr w:type="spellEnd"/>
      <w:r w:rsidRPr="00021B40">
        <w:rPr>
          <w:lang w:val="en-US"/>
        </w:rPr>
        <w:t xml:space="preserve">-substituted human </w:t>
      </w:r>
      <w:proofErr w:type="spellStart"/>
      <w:r w:rsidRPr="00021B40">
        <w:rPr>
          <w:lang w:val="en-US"/>
        </w:rPr>
        <w:t>telomeric</w:t>
      </w:r>
      <w:proofErr w:type="spellEnd"/>
      <w:r w:rsidRPr="00021B40">
        <w:rPr>
          <w:lang w:val="en-US"/>
        </w:rPr>
        <w:t xml:space="preserve"> DNA //Nucleic acids research. – 2019. – </w:t>
      </w:r>
      <w:r>
        <w:t>Т</w:t>
      </w:r>
      <w:r w:rsidRPr="00021B40">
        <w:rPr>
          <w:lang w:val="en-US"/>
        </w:rPr>
        <w:t xml:space="preserve">. 47. – №. </w:t>
      </w:r>
      <w:r>
        <w:t>10. – С. 5395-5404.</w:t>
      </w:r>
    </w:p>
    <w:sectPr w:rsidR="00D77996" w:rsidSect="002453DF">
      <w:pgSz w:w="11906" w:h="16838"/>
      <w:pgMar w:top="1134" w:right="1361" w:bottom="1134" w:left="136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BEE"/>
    <w:rsid w:val="002453DF"/>
    <w:rsid w:val="003B1BEE"/>
    <w:rsid w:val="00D77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B21EC16-E228-4EE5-99E3-3C1EC3ECB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1B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ru.wikipedia.org/wiki/%C3%85_(%D0%BB%D0%B0%D1%82%D0%B8%D0%BD%D0%B8%D1%86%D0%B0)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</dc:creator>
  <cp:keywords/>
  <dc:description/>
  <cp:lastModifiedBy>Ilya</cp:lastModifiedBy>
  <cp:revision>2</cp:revision>
  <dcterms:created xsi:type="dcterms:W3CDTF">2026-04-29T15:11:00Z</dcterms:created>
  <dcterms:modified xsi:type="dcterms:W3CDTF">2026-04-30T09:41:00Z</dcterms:modified>
</cp:coreProperties>
</file>