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Первопринципное предсказание атомных структур, термодинамической устойчивости и энергетических характеристик бор</w:t>
      </w:r>
      <w:r w:rsidDel="00000000" w:rsidR="00000000" w:rsidRPr="00000000">
        <w:rPr>
          <w:b w:val="1"/>
          <w:bCs w:val="1"/>
          <w:rtl w:val="0"/>
        </w:rPr>
        <w:t xml:space="preserve">-кислородной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кластерн</w:t>
      </w:r>
      <w:r w:rsidDel="00000000" w:rsidR="00000000" w:rsidRPr="00000000">
        <w:rPr>
          <w:b w:val="1"/>
          <w:bCs w:val="1"/>
          <w:rtl w:val="0"/>
        </w:rPr>
        <w:t xml:space="preserve">ой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системы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Федяева М.А.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1,2,3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Лепешкин С.В.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1,2,3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Оганов А.Р.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Аспирант, 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rtl w:val="0"/>
        </w:rPr>
        <w:t xml:space="preserve">Физический институт имени П.Н. Лебедева РАН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highlight w:val="yellow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rtl w:val="0"/>
        </w:rPr>
        <w:t xml:space="preserve">Сколковский институт науки и технологий,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iCs w:val="1"/>
          <w:rtl w:val="0"/>
        </w:rPr>
        <w:t xml:space="preserve">Институт геохимии и аналитической химии РАН, Москва, Россия</w:t>
      </w:r>
      <w:r w:rsidDel="00000000" w:rsidR="00000000" w:rsidRPr="00000000">
        <w:rPr>
          <w:i w:val="1"/>
          <w:iCs w:val="1"/>
          <w:color w:val="000000"/>
          <w:highlight w:val="yellow"/>
          <w:rtl w:val="0"/>
        </w:rPr>
        <w:br w:type="textWrapping"/>
      </w:r>
      <w:r w:rsidDel="00000000" w:rsidR="00000000" w:rsidRPr="00000000">
        <w:rPr>
          <w:i w:val="1"/>
          <w:iCs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iCs w:val="1"/>
          <w:u w:val="single"/>
          <w:rtl w:val="0"/>
        </w:rPr>
        <w:t xml:space="preserve">femaal.femaal3@</w:t>
      </w:r>
      <w:hyperlink r:id="rId6">
        <w:r w:rsidDel="00000000" w:rsidR="00000000" w:rsidRPr="00000000">
          <w:rPr>
            <w:i w:val="1"/>
            <w:iCs w:val="1"/>
            <w:color w:val="000000"/>
            <w:u w:val="single"/>
            <w:rtl w:val="0"/>
          </w:rPr>
          <w:t xml:space="preserve">yandex.ru</w:t>
        </w:r>
      </w:hyperlink>
      <w:r w:rsidDel="00000000" w:rsidR="00000000" w:rsidRPr="00000000">
        <w:rPr>
          <w:rtl w:val="0"/>
        </w:rPr>
      </w:r>
    </w:p>
    <w:bookmarkStart w:colFirst="0" w:colLast="0" w:name="nhwwqtxc7y6b" w:id="0"/>
    <w:bookmarkEnd w:id="0"/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Наноразмерные объекты системы бор–кислород (молекулы и кластеры B–O) активно исследуются как модельные фрагменты борных оксидов и </w:t>
      </w:r>
      <w:r w:rsidDel="00000000" w:rsidR="00000000" w:rsidRPr="00000000">
        <w:rPr>
          <w:rtl w:val="0"/>
        </w:rPr>
        <w:t xml:space="preserve">борсодержащих</w:t>
      </w:r>
      <w:r w:rsidDel="00000000" w:rsidR="00000000" w:rsidRPr="00000000">
        <w:rPr>
          <w:color w:val="000000"/>
          <w:rtl w:val="0"/>
        </w:rPr>
        <w:t xml:space="preserve"> материалов. В частности, они важны для понимания локальной и </w:t>
      </w:r>
      <w:r w:rsidDel="00000000" w:rsidR="00000000" w:rsidRPr="00000000">
        <w:rPr>
          <w:color w:val="000000"/>
          <w:rtl w:val="0"/>
        </w:rPr>
        <w:t xml:space="preserve">среднепорядковой</w:t>
      </w:r>
      <w:r w:rsidDel="00000000" w:rsidR="00000000" w:rsidRPr="00000000">
        <w:rPr>
          <w:color w:val="000000"/>
          <w:rtl w:val="0"/>
        </w:rPr>
        <w:t xml:space="preserve"> структуры стеклообразного B₂O₃ и борных стекол, где ключевую роль играют BO₃-треугольники и бороксольные (B₃O₃) кольца; кластерные модели широко применяются для интерпретации спектроскопических (в т.ч. NMR и колебательных) «подписей» таких мотивов</w:t>
      </w:r>
      <w:r w:rsidDel="00000000" w:rsidR="00000000" w:rsidRPr="00000000">
        <w:rPr>
          <w:rtl w:val="0"/>
        </w:rPr>
        <w:t xml:space="preserve"> [1, 2]</w:t>
      </w:r>
      <w:r w:rsidDel="00000000" w:rsidR="00000000" w:rsidRPr="00000000">
        <w:rPr>
          <w:color w:val="000000"/>
          <w:rtl w:val="0"/>
        </w:rPr>
        <w:t xml:space="preserve">. Помимо «конденсированного» контекста, малые B–O частицы являются важными газофазными интермедиатами при окислении и горении бора: в кинетических моделях и экспериментах обсуждаются BO₂ и B₂O₂ (и родственные B–O-виды) как промежуточные продукты, влияющие на зажигание и двухстадийный характер горения борных частиц </w:t>
      </w:r>
      <w:r w:rsidDel="00000000" w:rsidR="00000000" w:rsidRPr="00000000">
        <w:rPr>
          <w:rtl w:val="0"/>
        </w:rPr>
        <w:t xml:space="preserve">[3]</w:t>
      </w:r>
      <w:r w:rsidDel="00000000" w:rsidR="00000000" w:rsidRPr="00000000">
        <w:rPr>
          <w:color w:val="000000"/>
          <w:rtl w:val="0"/>
        </w:rPr>
        <w:t xml:space="preserve">. Наконец, бор-кислородные кластеры представляют самостоятельный интерес в кластерной химии и физике: на их примере исследуют необычные типы химической связи, электронную </w:t>
      </w:r>
      <w:r w:rsidDel="00000000" w:rsidR="00000000" w:rsidRPr="00000000">
        <w:rPr>
          <w:color w:val="000000"/>
          <w:rtl w:val="0"/>
        </w:rPr>
        <w:t xml:space="preserve">делокализацию</w:t>
      </w:r>
      <w:r w:rsidDel="00000000" w:rsidR="00000000" w:rsidRPr="00000000">
        <w:rPr>
          <w:color w:val="000000"/>
          <w:rtl w:val="0"/>
        </w:rPr>
        <w:t xml:space="preserve"> и «</w:t>
      </w:r>
      <w:r w:rsidDel="00000000" w:rsidR="00000000" w:rsidRPr="00000000">
        <w:rPr>
          <w:color w:val="000000"/>
          <w:rtl w:val="0"/>
        </w:rPr>
        <w:t xml:space="preserve">боронильную</w:t>
      </w:r>
      <w:r w:rsidDel="00000000" w:rsidR="00000000" w:rsidRPr="00000000">
        <w:rPr>
          <w:color w:val="000000"/>
          <w:rtl w:val="0"/>
        </w:rPr>
        <w:t xml:space="preserve">» химию (устойчивость фрагмента BO как лиганда), часто в связке с анионной фотоэлектронной спектроскопией и высокоуровневыми </w:t>
      </w:r>
      <w:r w:rsidDel="00000000" w:rsidR="00000000" w:rsidRPr="00000000">
        <w:rPr>
          <w:color w:val="000000"/>
          <w:rtl w:val="0"/>
        </w:rPr>
        <w:t xml:space="preserve">квантово-химическими</w:t>
      </w:r>
      <w:r w:rsidDel="00000000" w:rsidR="00000000" w:rsidRPr="00000000">
        <w:rPr>
          <w:color w:val="000000"/>
          <w:rtl w:val="0"/>
        </w:rPr>
        <w:t xml:space="preserve"> расчетами </w:t>
      </w:r>
      <w:r w:rsidDel="00000000" w:rsidR="00000000" w:rsidRPr="00000000">
        <w:rPr>
          <w:rtl w:val="0"/>
        </w:rPr>
        <w:t xml:space="preserve">[4]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В данной работе выполнено систематическое первопринципное исследование кластеров системы B–O в широком диапазоне составов B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ₙ</w:t>
      </w:r>
      <w:r w:rsidDel="00000000" w:rsidR="00000000" w:rsidRPr="00000000">
        <w:rPr>
          <w:color w:val="000000"/>
          <w:rtl w:val="0"/>
        </w:rPr>
        <w:t xml:space="preserve">O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ₘ</w:t>
      </w:r>
      <w:r w:rsidDel="00000000" w:rsidR="00000000" w:rsidRPr="00000000">
        <w:rPr>
          <w:rFonts w:ascii="Gungsuh" w:cs="Gungsuh" w:eastAsia="Gungsuh" w:hAnsi="Gungsuh"/>
          <w:color w:val="000000"/>
          <w:rtl w:val="0"/>
        </w:rPr>
        <w:t xml:space="preserve"> (0 ≤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m</w:t>
      </w:r>
      <w:r w:rsidDel="00000000" w:rsidR="00000000" w:rsidRPr="00000000">
        <w:rPr>
          <w:rFonts w:ascii="Gungsuh" w:cs="Gungsuh" w:eastAsia="Gungsuh" w:hAnsi="Gungsuh"/>
          <w:color w:val="000000"/>
          <w:rtl w:val="0"/>
        </w:rPr>
        <w:t xml:space="preserve"> ≤ 12). Глобальный поиск низкоэнергетических структур проведён с использованием эволюционного алгоритма USPEX в сочетании с расчетами в рамках теории функционала плотности (DFT). Полученные результаты демонстрируют выраженное структурное разнообразие, определяемое размером кластера и соотношением B/O, и позволяют выделить характерные структурные мотивы в различных областях состава (включая кольцевые и боронильно-терминированные фрагменты). Выявлены «магические» кластеры с повышенной устойчивостью, </w:t>
      </w:r>
      <w:r w:rsidDel="00000000" w:rsidR="00000000" w:rsidRPr="00000000">
        <w:rPr>
          <w:rtl w:val="0"/>
        </w:rPr>
        <w:t xml:space="preserve">подтвержденной</w:t>
      </w:r>
      <w:r w:rsidDel="00000000" w:rsidR="00000000" w:rsidRPr="00000000">
        <w:rPr>
          <w:color w:val="000000"/>
          <w:rtl w:val="0"/>
        </w:rPr>
        <w:t xml:space="preserve"> энергетическими критериями (</w:t>
      </w:r>
      <w:r w:rsidDel="00000000" w:rsidR="00000000" w:rsidRPr="00000000">
        <w:rPr>
          <w:rtl w:val="0"/>
        </w:rPr>
        <w:t xml:space="preserve">второй производной полной энергии по составу, энергией фрагментации и величиной разности HOMO–LUMO</w:t>
      </w:r>
      <w:r w:rsidDel="00000000" w:rsidR="00000000" w:rsidRPr="00000000">
        <w:rPr>
          <w:color w:val="000000"/>
          <w:rtl w:val="0"/>
        </w:rPr>
        <w:t xml:space="preserve">); такие частицы могут выступать как наиболее вероятные стабильные промежуточные продукты в B–O химии и как перспективные «строительные блоки» для направленного получения бор-кислородных наноструктур и борных оксидных материалов.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</w:r>
      <w:r w:rsidDel="00000000" w:rsidR="00000000" w:rsidRPr="00000000">
        <w:rPr>
          <w:rtl w:val="0"/>
        </w:rPr>
        <w:t xml:space="preserve">Ferlat G., Charpentier T., Seitsonen A.P., Takada A., Lazzeri M., Cormier L., Calas G., Mauri F. Boroxol Rings in Liquid and Vitreous B2O3 from First Principles // Phys. Rev. Lett. 2008. Vol. 101. P. 065504.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2.</w:t>
      </w:r>
      <w:r w:rsidDel="00000000" w:rsidR="00000000" w:rsidRPr="00000000">
        <w:rPr>
          <w:rtl w:val="0"/>
        </w:rPr>
        <w:t xml:space="preserve"> Zwanziger J.W. The NMR response of boroxol rings: a density functional theory study // Solid State Nucl. Magn. Reson. 2005. Vol. 27. P. 5–9.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Duan L., Xia Z., Chen B., Ma L., Feng Y., Zhang J., Hu J. Zero-Dimensional Ignition Model of Boron Agglomerates // ACS Omega. 2023. Vol. 8. No. 21. P. 18773–18781.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Zhai H.-J., Chen Q., Bai H., Li S.-D., Wang L.-S. Boronyl chemistry: the BO group as a new ligand in gas-phase clusters and synthetic compounds // Acc. Chem. Res. 2014. Vol. 47. No. 8. P. 2435–2445.</w:t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