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5031E" w14:textId="2A42C5DC" w:rsidR="009277BB" w:rsidRPr="00672237" w:rsidRDefault="00D511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D511EB">
        <w:rPr>
          <w:b/>
          <w:color w:val="000000"/>
        </w:rPr>
        <w:t xml:space="preserve">Квантово-химическое изучение электронного строения и реакционной способности неинноцентных комплексов </w:t>
      </w:r>
      <w:r>
        <w:rPr>
          <w:b/>
          <w:color w:val="000000"/>
        </w:rPr>
        <w:t>переходных металлов</w:t>
      </w:r>
      <w:r w:rsidRPr="00D511EB">
        <w:rPr>
          <w:b/>
          <w:color w:val="000000"/>
        </w:rPr>
        <w:t xml:space="preserve"> с пероксид-производными лигандами</w:t>
      </w:r>
    </w:p>
    <w:p w14:paraId="00000002" w14:textId="45F7A00D" w:rsidR="00130241" w:rsidRDefault="00D511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D511EB">
        <w:rPr>
          <w:b/>
          <w:i/>
          <w:color w:val="000000"/>
        </w:rPr>
        <w:t>Проломов</w:t>
      </w:r>
      <w:r>
        <w:rPr>
          <w:b/>
          <w:i/>
          <w:color w:val="000000"/>
        </w:rPr>
        <w:t xml:space="preserve"> И.В.</w:t>
      </w:r>
      <w:r w:rsidRPr="00D511EB">
        <w:rPr>
          <w:b/>
          <w:i/>
          <w:color w:val="000000"/>
          <w:vertAlign w:val="superscript"/>
        </w:rPr>
        <w:t>1,2</w:t>
      </w:r>
      <w:r w:rsidRPr="00D511EB">
        <w:rPr>
          <w:b/>
          <w:i/>
          <w:color w:val="000000"/>
        </w:rPr>
        <w:t>, Малашкеевич К.М</w:t>
      </w:r>
      <w:r w:rsidRPr="00D511EB">
        <w:rPr>
          <w:b/>
          <w:i/>
          <w:color w:val="000000"/>
          <w:vertAlign w:val="superscript"/>
        </w:rPr>
        <w:t>1,2</w:t>
      </w:r>
      <w:r w:rsidRPr="00D511EB">
        <w:rPr>
          <w:b/>
          <w:i/>
          <w:color w:val="000000"/>
        </w:rPr>
        <w:t xml:space="preserve">, Медведев </w:t>
      </w:r>
      <w:proofErr w:type="gramStart"/>
      <w:r w:rsidRPr="00D511EB">
        <w:rPr>
          <w:b/>
          <w:i/>
          <w:color w:val="000000"/>
        </w:rPr>
        <w:t>М.Г.</w:t>
      </w:r>
      <w:proofErr w:type="gramEnd"/>
      <w:r w:rsidRPr="00D511EB">
        <w:rPr>
          <w:b/>
          <w:i/>
          <w:color w:val="000000"/>
          <w:vertAlign w:val="superscript"/>
        </w:rPr>
        <w:t>1</w:t>
      </w:r>
    </w:p>
    <w:p w14:paraId="00000003" w14:textId="3F6F998C" w:rsidR="00130241" w:rsidRDefault="00926A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Аспирант</w:t>
      </w:r>
      <w:r w:rsidR="007C2E47">
        <w:rPr>
          <w:i/>
          <w:color w:val="000000"/>
        </w:rPr>
        <w:t>,</w:t>
      </w:r>
      <w:r>
        <w:rPr>
          <w:i/>
          <w:color w:val="000000"/>
        </w:rPr>
        <w:t xml:space="preserve"> </w:t>
      </w:r>
      <w:r w:rsidR="00D511EB">
        <w:rPr>
          <w:i/>
          <w:color w:val="000000"/>
        </w:rPr>
        <w:t>2</w:t>
      </w:r>
      <w:r w:rsidR="007C2E47">
        <w:rPr>
          <w:i/>
          <w:color w:val="000000"/>
        </w:rPr>
        <w:t xml:space="preserve"> </w:t>
      </w:r>
      <w:r>
        <w:rPr>
          <w:i/>
          <w:color w:val="000000"/>
        </w:rPr>
        <w:t>го</w:t>
      </w:r>
      <w:r w:rsidR="007C2E47">
        <w:rPr>
          <w:i/>
          <w:color w:val="000000"/>
        </w:rPr>
        <w:t>д</w:t>
      </w:r>
      <w:r w:rsidR="00D511EB">
        <w:rPr>
          <w:i/>
          <w:color w:val="000000"/>
        </w:rPr>
        <w:t>а</w:t>
      </w:r>
      <w:r>
        <w:rPr>
          <w:i/>
          <w:color w:val="000000"/>
        </w:rPr>
        <w:t xml:space="preserve"> </w:t>
      </w:r>
      <w:r w:rsidR="007C2E47">
        <w:rPr>
          <w:i/>
          <w:color w:val="000000"/>
        </w:rPr>
        <w:t>обучения</w:t>
      </w:r>
    </w:p>
    <w:p w14:paraId="1EB45B3E" w14:textId="0021535E" w:rsidR="00480440" w:rsidRPr="005D345F" w:rsidRDefault="00EB1F49" w:rsidP="004804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color w:val="000000"/>
          <w:vertAlign w:val="superscript"/>
        </w:rPr>
        <w:t>1</w:t>
      </w:r>
      <w:r w:rsidR="00926AD3">
        <w:rPr>
          <w:i/>
          <w:iCs/>
          <w:color w:val="000000"/>
        </w:rPr>
        <w:t>Институт органической химии им. Н. Д. Зелинского Российской академии наук, Москва, Россия</w:t>
      </w:r>
    </w:p>
    <w:p w14:paraId="72120019" w14:textId="0D3E51CA" w:rsidR="00480440" w:rsidRDefault="00EB1F49" w:rsidP="00926A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color w:val="000000"/>
          <w:vertAlign w:val="superscript"/>
        </w:rPr>
        <w:t>2</w:t>
      </w:r>
      <w:r w:rsidR="00926AD3">
        <w:rPr>
          <w:i/>
          <w:iCs/>
          <w:color w:val="000000"/>
        </w:rPr>
        <w:t>Р</w:t>
      </w:r>
      <w:r w:rsidR="00926AD3" w:rsidRPr="00D55C1E">
        <w:rPr>
          <w:i/>
          <w:iCs/>
          <w:color w:val="000000"/>
        </w:rPr>
        <w:t>оссийский химико-технологический университет им. Д. И. Менделеева</w:t>
      </w:r>
      <w:r w:rsidR="00926AD3" w:rsidRPr="000E7619">
        <w:rPr>
          <w:i/>
          <w:iCs/>
          <w:color w:val="000000"/>
        </w:rPr>
        <w:t xml:space="preserve">, </w:t>
      </w:r>
      <w:r w:rsidR="00926AD3" w:rsidRPr="00D55C1E">
        <w:rPr>
          <w:i/>
          <w:iCs/>
          <w:color w:val="000000"/>
        </w:rPr>
        <w:t>Москва, Росси</w:t>
      </w:r>
      <w:r w:rsidR="00926AD3" w:rsidRPr="005D345F">
        <w:rPr>
          <w:i/>
          <w:iCs/>
          <w:color w:val="000000"/>
        </w:rPr>
        <w:t>я</w:t>
      </w:r>
    </w:p>
    <w:p w14:paraId="588215A5" w14:textId="5EE45EDF" w:rsidR="009B2F80" w:rsidRPr="0034238D" w:rsidRDefault="00EB1F49" w:rsidP="009C69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u w:val="single"/>
        </w:rPr>
      </w:pPr>
      <w:r w:rsidRPr="00B12BEF">
        <w:rPr>
          <w:i/>
          <w:color w:val="000000"/>
          <w:lang w:val="en-US"/>
        </w:rPr>
        <w:t>E</w:t>
      </w:r>
      <w:r w:rsidR="003B76D6" w:rsidRPr="0034238D">
        <w:rPr>
          <w:i/>
          <w:color w:val="000000"/>
        </w:rPr>
        <w:t>-</w:t>
      </w:r>
      <w:r w:rsidRPr="00B12BEF">
        <w:rPr>
          <w:i/>
          <w:color w:val="000000"/>
          <w:lang w:val="en-US"/>
        </w:rPr>
        <w:t>mail</w:t>
      </w:r>
      <w:r w:rsidRPr="0034238D">
        <w:rPr>
          <w:i/>
          <w:color w:val="000000"/>
        </w:rPr>
        <w:t xml:space="preserve">: </w:t>
      </w:r>
      <w:proofErr w:type="spellStart"/>
      <w:r w:rsidR="00480440" w:rsidRPr="00480440">
        <w:rPr>
          <w:i/>
          <w:iCs/>
          <w:color w:val="000000"/>
          <w:u w:val="single"/>
          <w:lang w:val="en-US"/>
        </w:rPr>
        <w:t>ilyavpro</w:t>
      </w:r>
      <w:proofErr w:type="spellEnd"/>
      <w:r w:rsidR="00480440" w:rsidRPr="0034238D">
        <w:rPr>
          <w:i/>
          <w:iCs/>
          <w:color w:val="000000"/>
          <w:u w:val="single"/>
        </w:rPr>
        <w:t>@</w:t>
      </w:r>
      <w:proofErr w:type="spellStart"/>
      <w:r w:rsidR="00480440" w:rsidRPr="00480440">
        <w:rPr>
          <w:i/>
          <w:iCs/>
          <w:color w:val="000000"/>
          <w:u w:val="single"/>
          <w:lang w:val="en-US"/>
        </w:rPr>
        <w:t>gmail</w:t>
      </w:r>
      <w:proofErr w:type="spellEnd"/>
      <w:r w:rsidR="00480440" w:rsidRPr="0034238D">
        <w:rPr>
          <w:i/>
          <w:iCs/>
          <w:color w:val="000000"/>
          <w:u w:val="single"/>
        </w:rPr>
        <w:t>.</w:t>
      </w:r>
      <w:r w:rsidR="00480440" w:rsidRPr="00480440">
        <w:rPr>
          <w:i/>
          <w:iCs/>
          <w:color w:val="000000"/>
          <w:u w:val="single"/>
          <w:lang w:val="en-US"/>
        </w:rPr>
        <w:t>com</w:t>
      </w:r>
    </w:p>
    <w:p w14:paraId="4D0DEE97" w14:textId="5BF17BCA" w:rsidR="00734CCE" w:rsidRDefault="00D511EB" w:rsidP="0060320D">
      <w:pPr>
        <w:ind w:firstLine="397"/>
        <w:jc w:val="both"/>
        <w:rPr>
          <w:color w:val="000000"/>
        </w:rPr>
      </w:pPr>
      <w:r w:rsidRPr="00E9061F">
        <w:t xml:space="preserve">Неинноцентные </w:t>
      </w:r>
      <w:r>
        <w:t>комплексы</w:t>
      </w:r>
      <w:r w:rsidRPr="00E9061F">
        <w:t xml:space="preserve"> могут служить мощным инструментом для придания переходны</w:t>
      </w:r>
      <w:r>
        <w:t>м</w:t>
      </w:r>
      <w:r w:rsidRPr="00E9061F">
        <w:t xml:space="preserve"> металл</w:t>
      </w:r>
      <w:r>
        <w:t>ам</w:t>
      </w:r>
      <w:r w:rsidRPr="00E9061F">
        <w:t xml:space="preserve"> реакционной способности, аналогичной реакционной способности систем благородных металлов</w:t>
      </w:r>
      <w:r w:rsidR="001F5849">
        <w:t xml:space="preserve"> </w:t>
      </w:r>
      <w:r w:rsidR="001F5849" w:rsidRPr="001F5849">
        <w:t>[1]</w:t>
      </w:r>
      <w:r w:rsidRPr="00E9061F">
        <w:t>.</w:t>
      </w:r>
      <w:r w:rsidRPr="00FD2F73">
        <w:t xml:space="preserve"> </w:t>
      </w:r>
      <w:r w:rsidRPr="00E9061F">
        <w:t xml:space="preserve">Однако нестабильность этих </w:t>
      </w:r>
      <w:r>
        <w:t>комплексов</w:t>
      </w:r>
      <w:r w:rsidRPr="00E9061F">
        <w:t xml:space="preserve"> остается серьезным препятствием, особенно в случае органических каркасов, содержащих несколько гетероатомов. В нашем предыдущем исследовании мы изучали реакционную способность би- и трициклических </w:t>
      </w:r>
      <w:proofErr w:type="spellStart"/>
      <w:r w:rsidRPr="00E9061F">
        <w:t>аминопероксидов</w:t>
      </w:r>
      <w:proofErr w:type="spellEnd"/>
      <w:r w:rsidRPr="00E9061F">
        <w:t xml:space="preserve"> в присутствии солей железа (II)</w:t>
      </w:r>
      <w:r w:rsidRPr="00FD2F73">
        <w:t xml:space="preserve"> </w:t>
      </w:r>
      <w:r w:rsidRPr="00E9061F">
        <w:t>[</w:t>
      </w:r>
      <w:r w:rsidR="001F5849">
        <w:t>2</w:t>
      </w:r>
      <w:r w:rsidRPr="00FD2F73">
        <w:t>]</w:t>
      </w:r>
      <w:r w:rsidRPr="00E9061F">
        <w:t>.</w:t>
      </w:r>
      <w:r w:rsidRPr="00FD2F73">
        <w:t xml:space="preserve"> </w:t>
      </w:r>
      <w:r w:rsidRPr="00E9061F">
        <w:t xml:space="preserve">В этой работе мы представляем всестороннее компьютерное исследование комплексов, </w:t>
      </w:r>
      <w:r>
        <w:t>образующихся</w:t>
      </w:r>
      <w:r w:rsidRPr="00E9061F">
        <w:t xml:space="preserve"> путем формального внедр</w:t>
      </w:r>
      <w:r>
        <w:t>е</w:t>
      </w:r>
      <w:r w:rsidRPr="00E9061F">
        <w:t xml:space="preserve">ния </w:t>
      </w:r>
      <w:r>
        <w:t>соли железа</w:t>
      </w:r>
      <w:r w:rsidRPr="00E9061F">
        <w:t xml:space="preserve"> по связи O–O каркасных органических (</w:t>
      </w:r>
      <w:proofErr w:type="spellStart"/>
      <w:r w:rsidRPr="00E9061F">
        <w:t>амино</w:t>
      </w:r>
      <w:proofErr w:type="spellEnd"/>
      <w:r w:rsidRPr="00E9061F">
        <w:t xml:space="preserve">)пероксидов, раскрывая новые механизмы, лежащие в основе стабильности подобных комплексов. Наше исследование выявило явление внутримолекулярного переноса одного электрона (SET) от мостикового азота в неинноцентных лигандах, полученных из </w:t>
      </w:r>
      <w:proofErr w:type="spellStart"/>
      <w:r w:rsidRPr="00E9061F">
        <w:t>аминопероксидов</w:t>
      </w:r>
      <w:proofErr w:type="spellEnd"/>
      <w:r w:rsidRPr="00E9061F">
        <w:t>, что эффективно стабилизирует радикальную систему</w:t>
      </w:r>
      <w:r>
        <w:t xml:space="preserve"> (Рис. 1)</w:t>
      </w:r>
      <w:r w:rsidR="0060320D" w:rsidRPr="0060320D">
        <w:rPr>
          <w:color w:val="000000"/>
        </w:rPr>
        <w:t>.</w:t>
      </w:r>
    </w:p>
    <w:p w14:paraId="40540D0C" w14:textId="2AA34784" w:rsidR="0061762D" w:rsidRPr="00D511EB" w:rsidRDefault="00D511EB" w:rsidP="00D511EB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9637564" wp14:editId="3DE803F3">
            <wp:extent cx="3308207" cy="1845733"/>
            <wp:effectExtent l="0" t="0" r="0" b="0"/>
            <wp:docPr id="1435893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5" cy="18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E94B" w14:textId="5A26D318" w:rsidR="009C69F5" w:rsidRPr="001F5849" w:rsidRDefault="009C69F5" w:rsidP="00D91062">
      <w:pPr>
        <w:shd w:val="clear" w:color="auto" w:fill="FFFFFF"/>
        <w:tabs>
          <w:tab w:val="left" w:pos="294"/>
          <w:tab w:val="left" w:pos="1708"/>
        </w:tabs>
        <w:ind w:firstLine="397"/>
        <w:jc w:val="center"/>
        <w:rPr>
          <w:color w:val="000000"/>
          <w:lang w:val="en-US"/>
        </w:rPr>
      </w:pPr>
      <w:r>
        <w:rPr>
          <w:color w:val="000000"/>
        </w:rPr>
        <w:t xml:space="preserve">Схема 1. </w:t>
      </w:r>
      <w:r w:rsidR="00D511EB" w:rsidRPr="00015DA8">
        <w:t>Распределение спиновой плотности</w:t>
      </w:r>
      <w:r w:rsidR="00D511EB">
        <w:t xml:space="preserve"> в </w:t>
      </w:r>
      <w:proofErr w:type="spellStart"/>
      <w:r w:rsidR="00D511EB">
        <w:t>бицикилическом</w:t>
      </w:r>
      <w:proofErr w:type="spellEnd"/>
      <w:r w:rsidR="00D511EB">
        <w:t xml:space="preserve"> (слева) и трициклическом (справа) </w:t>
      </w:r>
      <w:proofErr w:type="spellStart"/>
      <w:r w:rsidR="00D511EB">
        <w:t>неинноцентном</w:t>
      </w:r>
      <w:proofErr w:type="spellEnd"/>
      <w:r w:rsidR="00D511EB">
        <w:t xml:space="preserve"> комплексе</w:t>
      </w:r>
    </w:p>
    <w:p w14:paraId="66AA91CC" w14:textId="4915BDD4" w:rsidR="00D075A0" w:rsidRDefault="00D511EB" w:rsidP="00D075A0">
      <w:pPr>
        <w:ind w:firstLine="397"/>
        <w:jc w:val="both"/>
        <w:rPr>
          <w:color w:val="000000"/>
        </w:rPr>
      </w:pPr>
      <w:r w:rsidRPr="00E9061F">
        <w:t xml:space="preserve">Напротив, аналогичные комплексы, полученные из пероксидов (без азота), демонстрируют выраженную локализацию неспаренного электрона на атомах кислорода, координированных с атомом железа, что придает им значительную окислительную способность. Используя квантово-химические методы, в том числе DLPNO-CCSD(T), теорию функционала плотности (ωB97X-D4) и </w:t>
      </w:r>
      <w:proofErr w:type="spellStart"/>
      <w:r w:rsidRPr="000F0775">
        <w:t>мультиреференсные</w:t>
      </w:r>
      <w:proofErr w:type="spellEnd"/>
      <w:r>
        <w:t xml:space="preserve"> </w:t>
      </w:r>
      <w:r w:rsidRPr="00E9061F">
        <w:t>подходы (</w:t>
      </w:r>
      <w:r>
        <w:rPr>
          <w:lang w:val="en-US"/>
        </w:rPr>
        <w:t>CASSCF</w:t>
      </w:r>
      <w:r w:rsidRPr="000F0775">
        <w:t>/</w:t>
      </w:r>
      <w:r w:rsidRPr="00E9061F">
        <w:t>NEVPT2), мы выясняем электронные структуры комплексов и количественно оцениваем тенденции их стабильности, демонстрируя, что внутримолекулярный SET значительно снижает реакционную способность комплексов с мостиковым атомом азота</w:t>
      </w:r>
      <w:r w:rsidR="00D075A0">
        <w:rPr>
          <w:color w:val="000000"/>
        </w:rPr>
        <w:t xml:space="preserve">. </w:t>
      </w:r>
    </w:p>
    <w:p w14:paraId="1B3E1461" w14:textId="37A07E64" w:rsidR="00D511EB" w:rsidRPr="00D511EB" w:rsidRDefault="00D511EB" w:rsidP="00D075A0">
      <w:pPr>
        <w:ind w:firstLine="397"/>
        <w:jc w:val="both"/>
        <w:rPr>
          <w:i/>
          <w:iCs/>
          <w:color w:val="000000"/>
        </w:rPr>
      </w:pPr>
      <w:r w:rsidRPr="00D511EB">
        <w:rPr>
          <w:i/>
          <w:iCs/>
        </w:rPr>
        <w:t>Работа выполнена при финансовой поддержке гранта 22-73-10124-П.</w:t>
      </w:r>
    </w:p>
    <w:p w14:paraId="2EA54E82" w14:textId="47DD3B8E" w:rsidR="005D345F" w:rsidRPr="003A54FC" w:rsidRDefault="005D345F" w:rsidP="005D345F">
      <w:pP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39E953B7" w14:textId="40265B92" w:rsidR="00D511EB" w:rsidRDefault="005D345F" w:rsidP="00926AD3">
      <w:pP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1. </w:t>
      </w:r>
      <w:proofErr w:type="spellStart"/>
      <w:r w:rsidR="00D511EB" w:rsidRPr="00D511EB">
        <w:rPr>
          <w:color w:val="000000"/>
          <w:lang w:val="en-US"/>
        </w:rPr>
        <w:t>Chirik</w:t>
      </w:r>
      <w:proofErr w:type="spellEnd"/>
      <w:r w:rsidR="00D511EB" w:rsidRPr="00D511EB">
        <w:rPr>
          <w:color w:val="000000"/>
          <w:lang w:val="en-US"/>
        </w:rPr>
        <w:t xml:space="preserve"> P.J., </w:t>
      </w:r>
      <w:proofErr w:type="spellStart"/>
      <w:r w:rsidR="00D511EB" w:rsidRPr="00D511EB">
        <w:rPr>
          <w:color w:val="000000"/>
          <w:lang w:val="en-US"/>
        </w:rPr>
        <w:t>Wieghardt</w:t>
      </w:r>
      <w:proofErr w:type="spellEnd"/>
      <w:r w:rsidR="00D511EB" w:rsidRPr="00D511EB">
        <w:rPr>
          <w:color w:val="000000"/>
          <w:lang w:val="en-US"/>
        </w:rPr>
        <w:t xml:space="preserve"> K. Radical Ligands Confer Nobility on Base-Metal Catalysts //</w:t>
      </w:r>
      <w:r w:rsidR="00D511EB">
        <w:rPr>
          <w:color w:val="000000"/>
          <w:lang w:val="en-US"/>
        </w:rPr>
        <w:t xml:space="preserve"> </w:t>
      </w:r>
      <w:r w:rsidR="00D511EB" w:rsidRPr="00D511EB">
        <w:rPr>
          <w:color w:val="000000"/>
          <w:lang w:val="en-US"/>
        </w:rPr>
        <w:t>Science. 2010. V</w:t>
      </w:r>
      <w:r w:rsidR="00D511EB">
        <w:rPr>
          <w:color w:val="000000"/>
          <w:lang w:val="en-US"/>
        </w:rPr>
        <w:t>ol</w:t>
      </w:r>
      <w:r w:rsidR="00D511EB" w:rsidRPr="00D511EB">
        <w:rPr>
          <w:color w:val="000000"/>
          <w:lang w:val="en-US"/>
        </w:rPr>
        <w:t>. 327. P. 794–795.</w:t>
      </w:r>
    </w:p>
    <w:p w14:paraId="5774D311" w14:textId="0298C5CF" w:rsidR="00D511EB" w:rsidRPr="00D511EB" w:rsidRDefault="00D511EB" w:rsidP="00926AD3">
      <w:pPr>
        <w:shd w:val="clear" w:color="auto" w:fill="FFFFFF"/>
        <w:jc w:val="both"/>
        <w:rPr>
          <w:color w:val="000000"/>
        </w:rPr>
      </w:pPr>
      <w:r w:rsidRPr="00D511EB">
        <w:rPr>
          <w:color w:val="000000"/>
          <w:lang w:val="en-US"/>
        </w:rPr>
        <w:t xml:space="preserve">2. </w:t>
      </w:r>
      <w:r w:rsidR="00926AD3" w:rsidRPr="00926AD3">
        <w:rPr>
          <w:color w:val="000000"/>
          <w:lang w:val="en-US"/>
        </w:rPr>
        <w:t xml:space="preserve">Belyakova </w:t>
      </w:r>
      <w:proofErr w:type="spellStart"/>
      <w:r w:rsidR="00926AD3" w:rsidRPr="00926AD3">
        <w:rPr>
          <w:color w:val="000000"/>
          <w:lang w:val="en-US"/>
        </w:rPr>
        <w:t>Y.Yu</w:t>
      </w:r>
      <w:proofErr w:type="spellEnd"/>
      <w:r w:rsidR="00926AD3" w:rsidRPr="00926AD3">
        <w:rPr>
          <w:color w:val="000000"/>
          <w:lang w:val="en-US"/>
        </w:rPr>
        <w:t xml:space="preserve">., Radulov P.S., Novikov R.A., Prolomov I.V., </w:t>
      </w:r>
      <w:proofErr w:type="spellStart"/>
      <w:r w:rsidR="00926AD3" w:rsidRPr="00926AD3">
        <w:rPr>
          <w:color w:val="000000"/>
          <w:lang w:val="en-US"/>
        </w:rPr>
        <w:t>Krivoshchapov</w:t>
      </w:r>
      <w:proofErr w:type="spellEnd"/>
      <w:r w:rsidR="00926AD3" w:rsidRPr="00926AD3">
        <w:rPr>
          <w:color w:val="000000"/>
          <w:lang w:val="en-US"/>
        </w:rPr>
        <w:t xml:space="preserve"> N.V., Medvedev M.G., </w:t>
      </w:r>
      <w:proofErr w:type="spellStart"/>
      <w:r w:rsidR="00926AD3" w:rsidRPr="00926AD3">
        <w:rPr>
          <w:color w:val="000000"/>
          <w:lang w:val="en-US"/>
        </w:rPr>
        <w:t>Yaremenko</w:t>
      </w:r>
      <w:proofErr w:type="spellEnd"/>
      <w:r w:rsidR="00926AD3" w:rsidRPr="00926AD3">
        <w:rPr>
          <w:color w:val="000000"/>
          <w:lang w:val="en-US"/>
        </w:rPr>
        <w:t xml:space="preserve"> I.A., </w:t>
      </w:r>
      <w:proofErr w:type="spellStart"/>
      <w:r w:rsidR="00926AD3" w:rsidRPr="00926AD3">
        <w:rPr>
          <w:color w:val="000000"/>
          <w:lang w:val="en-US"/>
        </w:rPr>
        <w:t>Alabugin</w:t>
      </w:r>
      <w:proofErr w:type="spellEnd"/>
      <w:r w:rsidR="00926AD3" w:rsidRPr="00926AD3">
        <w:rPr>
          <w:color w:val="000000"/>
          <w:lang w:val="en-US"/>
        </w:rPr>
        <w:t xml:space="preserve"> I.V., </w:t>
      </w:r>
      <w:proofErr w:type="spellStart"/>
      <w:r w:rsidR="00926AD3" w:rsidRPr="00926AD3">
        <w:rPr>
          <w:color w:val="000000"/>
          <w:lang w:val="en-US"/>
        </w:rPr>
        <w:t>Terent’ev</w:t>
      </w:r>
      <w:proofErr w:type="spellEnd"/>
      <w:r w:rsidR="00926AD3" w:rsidRPr="00926AD3">
        <w:rPr>
          <w:color w:val="000000"/>
          <w:lang w:val="en-US"/>
        </w:rPr>
        <w:t xml:space="preserve"> A.O. FeCl₂-Mediated Rearrangement of </w:t>
      </w:r>
      <w:proofErr w:type="spellStart"/>
      <w:r w:rsidR="00926AD3" w:rsidRPr="00926AD3">
        <w:rPr>
          <w:color w:val="000000"/>
          <w:lang w:val="en-US"/>
        </w:rPr>
        <w:t>Aminoperoxides</w:t>
      </w:r>
      <w:proofErr w:type="spellEnd"/>
      <w:r w:rsidR="00926AD3" w:rsidRPr="00926AD3">
        <w:rPr>
          <w:color w:val="000000"/>
          <w:lang w:val="en-US"/>
        </w:rPr>
        <w:t xml:space="preserve"> into Functionalized </w:t>
      </w:r>
      <w:proofErr w:type="spellStart"/>
      <w:r w:rsidR="00926AD3" w:rsidRPr="00926AD3">
        <w:rPr>
          <w:color w:val="000000"/>
          <w:lang w:val="en-US"/>
        </w:rPr>
        <w:t>Tetrahydrofurans</w:t>
      </w:r>
      <w:proofErr w:type="spellEnd"/>
      <w:r w:rsidR="00926AD3" w:rsidRPr="00926AD3">
        <w:rPr>
          <w:color w:val="000000"/>
          <w:lang w:val="en-US"/>
        </w:rPr>
        <w:t>: Dynamic Non-innocence of O-Ligands at an Fe Center Coordinates a Radical Cascade // J. Am. Chem. Soc. 2025. Vol. 147. P. 965–977.</w:t>
      </w:r>
    </w:p>
    <w:sectPr w:rsidR="00D511EB" w:rsidRPr="00D511EB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0"/>
  </w:num>
  <w:num w:numId="2" w16cid:durableId="29865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07B4B"/>
    <w:rsid w:val="00063966"/>
    <w:rsid w:val="00086081"/>
    <w:rsid w:val="000E7619"/>
    <w:rsid w:val="000F278D"/>
    <w:rsid w:val="00101A1C"/>
    <w:rsid w:val="00103657"/>
    <w:rsid w:val="00106375"/>
    <w:rsid w:val="00116478"/>
    <w:rsid w:val="00130241"/>
    <w:rsid w:val="001926AF"/>
    <w:rsid w:val="001E61C2"/>
    <w:rsid w:val="001F0493"/>
    <w:rsid w:val="001F5849"/>
    <w:rsid w:val="002264EE"/>
    <w:rsid w:val="00227DFF"/>
    <w:rsid w:val="0023307C"/>
    <w:rsid w:val="002B289D"/>
    <w:rsid w:val="002C76A3"/>
    <w:rsid w:val="0031361E"/>
    <w:rsid w:val="0032206D"/>
    <w:rsid w:val="0034238D"/>
    <w:rsid w:val="003456B7"/>
    <w:rsid w:val="00367AA2"/>
    <w:rsid w:val="00391C38"/>
    <w:rsid w:val="003A54FC"/>
    <w:rsid w:val="003B76D6"/>
    <w:rsid w:val="00424F81"/>
    <w:rsid w:val="00434F3E"/>
    <w:rsid w:val="00480440"/>
    <w:rsid w:val="004A26A3"/>
    <w:rsid w:val="004F0EDF"/>
    <w:rsid w:val="00522BF1"/>
    <w:rsid w:val="00540F4A"/>
    <w:rsid w:val="005556CC"/>
    <w:rsid w:val="00564CC3"/>
    <w:rsid w:val="00590166"/>
    <w:rsid w:val="005A4C57"/>
    <w:rsid w:val="005D022B"/>
    <w:rsid w:val="005D345F"/>
    <w:rsid w:val="005D6539"/>
    <w:rsid w:val="005E5BE9"/>
    <w:rsid w:val="0060320D"/>
    <w:rsid w:val="0061762D"/>
    <w:rsid w:val="006538C0"/>
    <w:rsid w:val="00672237"/>
    <w:rsid w:val="00680B2D"/>
    <w:rsid w:val="0069427D"/>
    <w:rsid w:val="006A6257"/>
    <w:rsid w:val="006E347A"/>
    <w:rsid w:val="006F7A19"/>
    <w:rsid w:val="007213E1"/>
    <w:rsid w:val="00734CCE"/>
    <w:rsid w:val="00775389"/>
    <w:rsid w:val="00796DA9"/>
    <w:rsid w:val="00797838"/>
    <w:rsid w:val="007C2E47"/>
    <w:rsid w:val="007C36D8"/>
    <w:rsid w:val="007F2744"/>
    <w:rsid w:val="008931BE"/>
    <w:rsid w:val="00893BCB"/>
    <w:rsid w:val="008C67E3"/>
    <w:rsid w:val="008D3ABF"/>
    <w:rsid w:val="00901753"/>
    <w:rsid w:val="00921D45"/>
    <w:rsid w:val="00926AD3"/>
    <w:rsid w:val="009277BB"/>
    <w:rsid w:val="00961795"/>
    <w:rsid w:val="00981141"/>
    <w:rsid w:val="00984D20"/>
    <w:rsid w:val="009A097A"/>
    <w:rsid w:val="009A66DB"/>
    <w:rsid w:val="009B2F80"/>
    <w:rsid w:val="009B3300"/>
    <w:rsid w:val="009C622D"/>
    <w:rsid w:val="009C69F5"/>
    <w:rsid w:val="009D0DBB"/>
    <w:rsid w:val="009F3380"/>
    <w:rsid w:val="00A02163"/>
    <w:rsid w:val="00A314FE"/>
    <w:rsid w:val="00A65381"/>
    <w:rsid w:val="00A76CD8"/>
    <w:rsid w:val="00A8029D"/>
    <w:rsid w:val="00AA7683"/>
    <w:rsid w:val="00AF2E6D"/>
    <w:rsid w:val="00B12BEF"/>
    <w:rsid w:val="00B2413F"/>
    <w:rsid w:val="00B32623"/>
    <w:rsid w:val="00B57055"/>
    <w:rsid w:val="00BC5610"/>
    <w:rsid w:val="00BF36F8"/>
    <w:rsid w:val="00BF4622"/>
    <w:rsid w:val="00C1406C"/>
    <w:rsid w:val="00CC202C"/>
    <w:rsid w:val="00CD00B1"/>
    <w:rsid w:val="00D07476"/>
    <w:rsid w:val="00D075A0"/>
    <w:rsid w:val="00D22306"/>
    <w:rsid w:val="00D42542"/>
    <w:rsid w:val="00D45D0F"/>
    <w:rsid w:val="00D501E5"/>
    <w:rsid w:val="00D511EB"/>
    <w:rsid w:val="00D56182"/>
    <w:rsid w:val="00D8121C"/>
    <w:rsid w:val="00D91062"/>
    <w:rsid w:val="00D9228B"/>
    <w:rsid w:val="00DA1247"/>
    <w:rsid w:val="00DC6491"/>
    <w:rsid w:val="00DD3338"/>
    <w:rsid w:val="00DD457F"/>
    <w:rsid w:val="00E22189"/>
    <w:rsid w:val="00E360E3"/>
    <w:rsid w:val="00E37D1C"/>
    <w:rsid w:val="00E74069"/>
    <w:rsid w:val="00E764E0"/>
    <w:rsid w:val="00E934C3"/>
    <w:rsid w:val="00EB1F49"/>
    <w:rsid w:val="00EC3D71"/>
    <w:rsid w:val="00EE3362"/>
    <w:rsid w:val="00F6667F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20D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Bibliography"/>
    <w:basedOn w:val="a"/>
    <w:next w:val="a"/>
    <w:uiPriority w:val="37"/>
    <w:unhideWhenUsed/>
    <w:rsid w:val="00BC5610"/>
    <w:pPr>
      <w:tabs>
        <w:tab w:val="left" w:pos="264"/>
      </w:tabs>
      <w:ind w:left="264" w:hanging="264"/>
    </w:pPr>
  </w:style>
  <w:style w:type="paragraph" w:styleId="ac">
    <w:name w:val="Normal (Web)"/>
    <w:basedOn w:val="a"/>
    <w:uiPriority w:val="99"/>
    <w:semiHidden/>
    <w:unhideWhenUsed/>
    <w:rsid w:val="00434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Ilya Prolomov</cp:lastModifiedBy>
  <cp:revision>29</cp:revision>
  <cp:lastPrinted>2024-02-11T21:10:00Z</cp:lastPrinted>
  <dcterms:created xsi:type="dcterms:W3CDTF">2024-02-16T20:36:00Z</dcterms:created>
  <dcterms:modified xsi:type="dcterms:W3CDTF">2026-03-02T20:42:00Z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  <property fmtid="{D5CDD505-2E9C-101B-9397-08002B2CF9AE}" pid="25" name="ZOTERO_PREF_1">
    <vt:lpwstr>&lt;data data-version="3" zotero-version="6.0.30"&gt;&lt;session id="2cgnRtDQ"/&gt;&lt;style id="http://www.zotero.org/styles/gost-r-7-0-5-2008-numeric-sep-noetal-doi-fullj-1" hasBibliography="1" bibliographyStyleHasBeenSet="1"/&gt;&lt;prefs&gt;&lt;pref name="fieldType" value="Fiel</vt:lpwstr>
  </property>
  <property fmtid="{D5CDD505-2E9C-101B-9397-08002B2CF9AE}" pid="26" name="ZOTERO_PREF_2">
    <vt:lpwstr>d"/&gt;&lt;/prefs&gt;&lt;/data&gt;</vt:lpwstr>
  </property>
</Properties>
</file>