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B8" w:rsidRPr="00BC59B6" w:rsidRDefault="00863AB8" w:rsidP="00863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BC59B6">
        <w:rPr>
          <w:b/>
          <w:bCs/>
        </w:rPr>
        <w:t xml:space="preserve">Идентификация и моделирование колебательно-вращательной структуры полос </w:t>
      </w:r>
      <w:r w:rsidRPr="00BC59B6">
        <w:rPr>
          <w:rFonts w:ascii="Cambria Math" w:hAnsi="Cambria Math" w:cs="Cambria Math"/>
          <w:b/>
          <w:bCs/>
        </w:rPr>
        <w:t>𝜈</w:t>
      </w:r>
      <w:r w:rsidRPr="00BC59B6">
        <w:rPr>
          <w:b/>
          <w:bCs/>
        </w:rPr>
        <w:t>₄ и 2</w:t>
      </w:r>
      <w:r w:rsidRPr="00BC59B6">
        <w:rPr>
          <w:rFonts w:ascii="Cambria Math" w:hAnsi="Cambria Math" w:cs="Cambria Math"/>
          <w:b/>
          <w:bCs/>
        </w:rPr>
        <w:t>𝜈</w:t>
      </w:r>
      <w:r w:rsidRPr="00BC59B6">
        <w:rPr>
          <w:b/>
          <w:bCs/>
        </w:rPr>
        <w:t xml:space="preserve">₆ в спектре высокого разрешения молекулы </w:t>
      </w:r>
      <w:proofErr w:type="spellStart"/>
      <w:r w:rsidRPr="00BC59B6">
        <w:rPr>
          <w:b/>
          <w:bCs/>
        </w:rPr>
        <w:t>дифторхлорметана</w:t>
      </w:r>
      <w:proofErr w:type="spellEnd"/>
      <w:r w:rsidRPr="00BC59B6">
        <w:rPr>
          <w:b/>
          <w:bCs/>
        </w:rPr>
        <w:t xml:space="preserve"> (¹²CH³⁵ClF₂)</w:t>
      </w:r>
    </w:p>
    <w:p w:rsidR="00863AB8" w:rsidRPr="000A2106" w:rsidRDefault="00863AB8" w:rsidP="00863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BC59B6">
        <w:rPr>
          <w:b/>
          <w:i/>
          <w:color w:val="000000"/>
        </w:rPr>
        <w:t>Ефремов И.М.</w:t>
      </w:r>
      <w:r w:rsidRPr="00BC59B6">
        <w:rPr>
          <w:b/>
          <w:i/>
          <w:color w:val="000000"/>
          <w:vertAlign w:val="superscript"/>
        </w:rPr>
        <w:t>1,2</w:t>
      </w:r>
      <w:r w:rsidRPr="00BC59B6">
        <w:rPr>
          <w:b/>
          <w:i/>
          <w:color w:val="000000"/>
        </w:rPr>
        <w:t xml:space="preserve">, </w:t>
      </w:r>
      <w:r w:rsidRPr="00BC59B6">
        <w:rPr>
          <w:b/>
          <w:bCs/>
          <w:i/>
          <w:iCs/>
        </w:rPr>
        <w:t>Добролюбов Е.О.</w:t>
      </w:r>
      <w:r w:rsidRPr="00BC59B6">
        <w:rPr>
          <w:b/>
          <w:bCs/>
          <w:i/>
          <w:iCs/>
          <w:vertAlign w:val="superscript"/>
        </w:rPr>
        <w:t>1,2</w:t>
      </w:r>
      <w:r w:rsidRPr="00BC59B6">
        <w:rPr>
          <w:b/>
          <w:i/>
          <w:color w:val="000000"/>
        </w:rPr>
        <w:t>, Краснощеков С.В.</w:t>
      </w:r>
      <w:r w:rsidRPr="00BC59B6">
        <w:rPr>
          <w:b/>
          <w:i/>
          <w:color w:val="000000"/>
          <w:vertAlign w:val="superscript"/>
        </w:rPr>
        <w:t>1</w:t>
      </w:r>
    </w:p>
    <w:p w:rsidR="00863AB8" w:rsidRPr="00BC59B6" w:rsidRDefault="00863AB8" w:rsidP="00863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59B6">
        <w:rPr>
          <w:i/>
          <w:color w:val="000000"/>
        </w:rPr>
        <w:t xml:space="preserve">Аспирант, 4 год обучения </w:t>
      </w:r>
    </w:p>
    <w:p w:rsidR="00863AB8" w:rsidRPr="00BC59B6" w:rsidRDefault="00863AB8" w:rsidP="00863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59B6">
        <w:rPr>
          <w:i/>
          <w:color w:val="000000"/>
          <w:vertAlign w:val="superscript"/>
        </w:rPr>
        <w:t>1</w:t>
      </w:r>
      <w:r w:rsidRPr="00BC59B6">
        <w:rPr>
          <w:i/>
          <w:color w:val="000000"/>
        </w:rPr>
        <w:t>Московский государственный университет имени М.В. Ломоносова, </w:t>
      </w:r>
    </w:p>
    <w:p w:rsidR="00863AB8" w:rsidRPr="00BC59B6" w:rsidRDefault="00863AB8" w:rsidP="00863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C59B6">
        <w:rPr>
          <w:i/>
          <w:color w:val="000000"/>
        </w:rPr>
        <w:t>химический факультет, Москва, Россия</w:t>
      </w:r>
    </w:p>
    <w:p w:rsidR="00863AB8" w:rsidRPr="00BC59B6" w:rsidRDefault="00863AB8" w:rsidP="00863AB8">
      <w:pPr>
        <w:autoSpaceDE w:val="0"/>
        <w:autoSpaceDN w:val="0"/>
        <w:adjustRightInd w:val="0"/>
        <w:jc w:val="center"/>
        <w:rPr>
          <w:i/>
        </w:rPr>
      </w:pPr>
      <w:r w:rsidRPr="00BC59B6">
        <w:rPr>
          <w:vertAlign w:val="superscript"/>
        </w:rPr>
        <w:t>2</w:t>
      </w:r>
      <w:r w:rsidRPr="00BC59B6">
        <w:rPr>
          <w:i/>
        </w:rPr>
        <w:t xml:space="preserve">Институт биохимической физики им. Н.М. </w:t>
      </w:r>
      <w:proofErr w:type="spellStart"/>
      <w:r w:rsidRPr="00BC59B6">
        <w:rPr>
          <w:i/>
        </w:rPr>
        <w:t>Эмануэля</w:t>
      </w:r>
      <w:proofErr w:type="spellEnd"/>
      <w:r w:rsidRPr="00BC59B6">
        <w:rPr>
          <w:i/>
        </w:rPr>
        <w:t xml:space="preserve"> Российской академии наук, 119334, Москва, Россия</w:t>
      </w:r>
    </w:p>
    <w:p w:rsidR="00863AB8" w:rsidRPr="001B2137" w:rsidRDefault="00863AB8" w:rsidP="00863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BC59B6">
        <w:rPr>
          <w:i/>
          <w:color w:val="000000"/>
          <w:lang w:val="en-US"/>
        </w:rPr>
        <w:t xml:space="preserve">E-mail: </w:t>
      </w:r>
      <w:hyperlink r:id="rId4" w:history="1">
        <w:r w:rsidRPr="0042603A">
          <w:rPr>
            <w:rStyle w:val="a5"/>
            <w:i/>
            <w:lang w:val="en-US"/>
          </w:rPr>
          <w:t>ilia.efremov@chemistry.msu.ru</w:t>
        </w:r>
      </w:hyperlink>
    </w:p>
    <w:p w:rsidR="00863AB8" w:rsidRDefault="00863AB8" w:rsidP="00863AB8">
      <w:pPr>
        <w:autoSpaceDE w:val="0"/>
        <w:autoSpaceDN w:val="0"/>
        <w:adjustRightInd w:val="0"/>
        <w:ind w:firstLine="397"/>
        <w:jc w:val="both"/>
      </w:pPr>
      <w:r w:rsidRPr="00BC59B6">
        <w:t>Представлены результаты колебательно-вращательного анализа ИК-спектра высокого разрешения</w:t>
      </w:r>
      <w:r w:rsidRPr="00E96E40">
        <w:t xml:space="preserve"> </w:t>
      </w:r>
      <w:r w:rsidRPr="00BC59B6">
        <w:t xml:space="preserve">изотопической смеси </w:t>
      </w:r>
      <w:proofErr w:type="spellStart"/>
      <w:r w:rsidRPr="00BC59B6">
        <w:t>ди</w:t>
      </w:r>
      <w:r>
        <w:t>фторхлор</w:t>
      </w:r>
      <w:r w:rsidRPr="00BC59B6">
        <w:t>метана</w:t>
      </w:r>
      <w:proofErr w:type="spellEnd"/>
      <w:r w:rsidRPr="00E96E40">
        <w:t xml:space="preserve"> (</w:t>
      </w:r>
      <w:r w:rsidRPr="00BC59B6">
        <w:t xml:space="preserve">обогащённого по изотопу </w:t>
      </w:r>
      <w:r w:rsidRPr="00863AB8">
        <w:rPr>
          <w:rStyle w:val="a6"/>
          <w:b w:val="0"/>
        </w:rPr>
        <w:t>¹³C</w:t>
      </w:r>
      <w:r w:rsidRPr="00BC59B6">
        <w:rPr>
          <w:b/>
          <w:bCs/>
        </w:rPr>
        <w:t xml:space="preserve"> </w:t>
      </w:r>
      <w:r w:rsidRPr="00BC59B6">
        <w:t>до</w:t>
      </w:r>
      <w:r w:rsidRPr="00BC59B6">
        <w:rPr>
          <w:b/>
          <w:bCs/>
        </w:rPr>
        <w:t xml:space="preserve"> </w:t>
      </w:r>
      <w:r w:rsidRPr="00863AB8">
        <w:rPr>
          <w:rStyle w:val="a6"/>
          <w:b w:val="0"/>
        </w:rPr>
        <w:t>29,8 %)</w:t>
      </w:r>
      <w:r w:rsidRPr="00E96E40">
        <w:t xml:space="preserve">, </w:t>
      </w:r>
      <w:r>
        <w:t xml:space="preserve">а именно </w:t>
      </w:r>
      <w:r w:rsidRPr="00BC59B6">
        <w:t xml:space="preserve">основного </w:t>
      </w:r>
      <w:proofErr w:type="spellStart"/>
      <w:r w:rsidRPr="00BC59B6">
        <w:t>изотополога</w:t>
      </w:r>
      <w:proofErr w:type="spellEnd"/>
      <w:r w:rsidRPr="00BC59B6">
        <w:t xml:space="preserve"> </w:t>
      </w:r>
      <w:r w:rsidRPr="00E96E40">
        <w:t>¹²CH³⁵ClF₂</w:t>
      </w:r>
      <w:r w:rsidRPr="00934476">
        <w:t xml:space="preserve"> [1,2</w:t>
      </w:r>
      <w:r w:rsidRPr="00414D8C">
        <w:t>]</w:t>
      </w:r>
      <w:r w:rsidRPr="00E96E40">
        <w:t>.</w:t>
      </w:r>
      <w:r>
        <w:t xml:space="preserve"> </w:t>
      </w:r>
      <w:r w:rsidRPr="00BC59B6">
        <w:t xml:space="preserve">Спектр зарегистрирован на Фурье-спектрометре </w:t>
      </w:r>
      <w:proofErr w:type="spellStart"/>
      <w:r w:rsidRPr="00863AB8">
        <w:rPr>
          <w:rStyle w:val="a6"/>
          <w:b w:val="0"/>
        </w:rPr>
        <w:t>Bruker</w:t>
      </w:r>
      <w:proofErr w:type="spellEnd"/>
      <w:r w:rsidRPr="00863AB8">
        <w:rPr>
          <w:rStyle w:val="a6"/>
          <w:b w:val="0"/>
        </w:rPr>
        <w:t xml:space="preserve"> IFS-125HR</w:t>
      </w:r>
      <w:r w:rsidRPr="00BC59B6">
        <w:t xml:space="preserve"> при комнатной температуре с разрешением порядка </w:t>
      </w:r>
      <w:r w:rsidRPr="00BC59B6">
        <w:rPr>
          <w:rStyle w:val="a6"/>
        </w:rPr>
        <w:t>≈</w:t>
      </w:r>
      <w:r>
        <w:rPr>
          <w:rStyle w:val="a6"/>
        </w:rPr>
        <w:t xml:space="preserve"> </w:t>
      </w:r>
      <w:r w:rsidRPr="00863AB8">
        <w:rPr>
          <w:rStyle w:val="a6"/>
          <w:b w:val="0"/>
        </w:rPr>
        <w:t>0,001 см⁻¹</w:t>
      </w:r>
      <w:r>
        <w:rPr>
          <w:rStyle w:val="a6"/>
        </w:rPr>
        <w:t xml:space="preserve"> </w:t>
      </w:r>
      <w:r w:rsidRPr="00BC59B6">
        <w:t xml:space="preserve">в диапазоне </w:t>
      </w:r>
      <w:r w:rsidRPr="00863AB8">
        <w:rPr>
          <w:rStyle w:val="a6"/>
          <w:b w:val="0"/>
        </w:rPr>
        <w:t>779–849 см⁻¹</w:t>
      </w:r>
      <w:r w:rsidRPr="00863AB8">
        <w:rPr>
          <w:bCs/>
        </w:rPr>
        <w:t>.</w:t>
      </w:r>
      <w:r w:rsidRPr="00BC59B6">
        <w:t xml:space="preserve"> Обратная спектроскопическая задача для основного </w:t>
      </w:r>
      <w:r>
        <w:t xml:space="preserve">была </w:t>
      </w:r>
      <w:r w:rsidRPr="00BC59B6">
        <w:t xml:space="preserve">решена с использованием </w:t>
      </w:r>
      <w:r w:rsidRPr="00863AB8">
        <w:rPr>
          <w:rStyle w:val="a6"/>
          <w:b w:val="0"/>
        </w:rPr>
        <w:t>A-редуцированного</w:t>
      </w:r>
      <w:r w:rsidRPr="00BC59B6">
        <w:t xml:space="preserve"> эффективного Гамильтониана с учётом </w:t>
      </w:r>
      <w:r w:rsidRPr="00863AB8">
        <w:rPr>
          <w:rStyle w:val="a6"/>
          <w:b w:val="0"/>
        </w:rPr>
        <w:t>резонанса Ферми</w:t>
      </w:r>
      <w:r w:rsidRPr="00BC59B6">
        <w:t xml:space="preserve"> </w:t>
      </w:r>
      <w:r w:rsidRPr="00BC59B6">
        <w:rPr>
          <w:rFonts w:ascii="Cambria Math" w:hAnsi="Cambria Math" w:cs="Cambria Math"/>
        </w:rPr>
        <w:t>𝜈</w:t>
      </w:r>
      <w:r w:rsidRPr="00BC59B6">
        <w:t>₄/2</w:t>
      </w:r>
      <w:r w:rsidRPr="00BC59B6">
        <w:rPr>
          <w:rFonts w:ascii="Cambria Math" w:hAnsi="Cambria Math" w:cs="Cambria Math"/>
        </w:rPr>
        <w:t>𝜈</w:t>
      </w:r>
      <w:r w:rsidRPr="00BC59B6">
        <w:t xml:space="preserve">₆ и </w:t>
      </w:r>
      <w:r w:rsidRPr="00863AB8">
        <w:rPr>
          <w:rStyle w:val="a6"/>
          <w:b w:val="0"/>
        </w:rPr>
        <w:t>резонанса Кориолиса</w:t>
      </w:r>
      <w:r w:rsidRPr="00BC59B6">
        <w:t xml:space="preserve"> </w:t>
      </w:r>
      <w:r w:rsidRPr="00BC59B6">
        <w:rPr>
          <w:rFonts w:ascii="Cambria Math" w:hAnsi="Cambria Math" w:cs="Cambria Math"/>
        </w:rPr>
        <w:t>𝜈</w:t>
      </w:r>
      <w:r w:rsidRPr="00BC59B6">
        <w:t>₄</w:t>
      </w:r>
      <w:proofErr w:type="gramStart"/>
      <w:r w:rsidRPr="00BC59B6">
        <w:t>/(</w:t>
      </w:r>
      <w:proofErr w:type="gramEnd"/>
      <w:r w:rsidRPr="00BC59B6">
        <w:rPr>
          <w:rFonts w:ascii="Cambria Math" w:hAnsi="Cambria Math" w:cs="Cambria Math"/>
        </w:rPr>
        <w:t>𝜈</w:t>
      </w:r>
      <w:r w:rsidRPr="00BC59B6">
        <w:t xml:space="preserve">₆ + </w:t>
      </w:r>
      <w:r w:rsidRPr="00BC59B6">
        <w:rPr>
          <w:rFonts w:ascii="Cambria Math" w:hAnsi="Cambria Math" w:cs="Cambria Math"/>
        </w:rPr>
        <w:t>𝜈</w:t>
      </w:r>
      <w:r w:rsidRPr="00BC59B6">
        <w:t xml:space="preserve">₉). Идентифицированные </w:t>
      </w:r>
      <w:r w:rsidRPr="00863AB8">
        <w:rPr>
          <w:rStyle w:val="a6"/>
          <w:b w:val="0"/>
        </w:rPr>
        <w:t>5841</w:t>
      </w:r>
      <w:r w:rsidRPr="00BC59B6">
        <w:t xml:space="preserve"> переход</w:t>
      </w:r>
      <w:r>
        <w:t>ов</w:t>
      </w:r>
      <w:r w:rsidRPr="00BC59B6">
        <w:t xml:space="preserve"> полосы </w:t>
      </w:r>
      <w:r w:rsidRPr="00BC59B6">
        <w:rPr>
          <w:rFonts w:ascii="Cambria Math" w:hAnsi="Cambria Math" w:cs="Cambria Math"/>
        </w:rPr>
        <w:t>𝜈</w:t>
      </w:r>
      <w:r w:rsidRPr="00BC59B6">
        <w:t xml:space="preserve">₄ и </w:t>
      </w:r>
      <w:r w:rsidRPr="00863AB8">
        <w:rPr>
          <w:rStyle w:val="a6"/>
          <w:b w:val="0"/>
        </w:rPr>
        <w:t>1643</w:t>
      </w:r>
      <w:r w:rsidRPr="00BC59B6">
        <w:t xml:space="preserve"> переходов полосы 2</w:t>
      </w:r>
      <w:r w:rsidRPr="00BC59B6">
        <w:rPr>
          <w:rFonts w:ascii="Cambria Math" w:hAnsi="Cambria Math" w:cs="Cambria Math"/>
        </w:rPr>
        <w:t>𝜈</w:t>
      </w:r>
      <w:r w:rsidRPr="00BC59B6">
        <w:t xml:space="preserve">₆ позволили </w:t>
      </w:r>
      <w:r>
        <w:t xml:space="preserve">получить </w:t>
      </w:r>
      <w:r w:rsidRPr="00863AB8">
        <w:rPr>
          <w:rStyle w:val="a6"/>
          <w:b w:val="0"/>
        </w:rPr>
        <w:t>2960</w:t>
      </w:r>
      <w:r w:rsidRPr="00BC59B6">
        <w:t xml:space="preserve"> верхних уровней</w:t>
      </w:r>
      <w:r>
        <w:t xml:space="preserve"> энергии</w:t>
      </w:r>
      <w:r w:rsidRPr="00BC59B6">
        <w:t xml:space="preserve"> </w:t>
      </w:r>
      <w:r>
        <w:t>состояния</w:t>
      </w:r>
      <w:r w:rsidRPr="00BC59B6">
        <w:t xml:space="preserve"> </w:t>
      </w:r>
      <w:r w:rsidRPr="00BC59B6">
        <w:rPr>
          <w:rFonts w:ascii="Cambria Math" w:hAnsi="Cambria Math" w:cs="Cambria Math"/>
        </w:rPr>
        <w:t>𝜈</w:t>
      </w:r>
      <w:r w:rsidRPr="00BC59B6">
        <w:t>₄ (</w:t>
      </w:r>
      <w:r w:rsidRPr="00BC59B6">
        <w:rPr>
          <w:rFonts w:ascii="Cambria Math" w:hAnsi="Cambria Math" w:cs="Cambria Math"/>
        </w:rPr>
        <w:t>𝐽</w:t>
      </w:r>
      <w:r w:rsidRPr="00BC59B6">
        <w:t xml:space="preserve"> ≤ 81, </w:t>
      </w:r>
      <w:r w:rsidRPr="00BC59B6">
        <w:rPr>
          <w:rFonts w:ascii="Cambria Math" w:hAnsi="Cambria Math" w:cs="Cambria Math"/>
        </w:rPr>
        <w:t>𝐾</w:t>
      </w:r>
      <w:r>
        <w:rPr>
          <w:vertAlign w:val="subscript"/>
          <w:lang w:val="en-GB"/>
        </w:rPr>
        <w:t>a</w:t>
      </w:r>
      <w:r w:rsidRPr="00BC59B6">
        <w:t xml:space="preserve"> ≤ 38) и </w:t>
      </w:r>
      <w:r w:rsidRPr="00863AB8">
        <w:rPr>
          <w:rStyle w:val="a6"/>
          <w:b w:val="0"/>
        </w:rPr>
        <w:t>1118</w:t>
      </w:r>
      <w:r w:rsidRPr="00BC59B6">
        <w:t xml:space="preserve"> </w:t>
      </w:r>
      <w:r>
        <w:t xml:space="preserve">верхних </w:t>
      </w:r>
      <w:r w:rsidRPr="00BC59B6">
        <w:t xml:space="preserve">уровней </w:t>
      </w:r>
      <w:bookmarkStart w:id="0" w:name="_GoBack"/>
      <w:bookmarkEnd w:id="0"/>
      <w:r>
        <w:t>энергии</w:t>
      </w:r>
      <w:r w:rsidRPr="00BC59B6">
        <w:t xml:space="preserve"> </w:t>
      </w:r>
      <w:r>
        <w:t xml:space="preserve">состояния </w:t>
      </w:r>
      <w:r w:rsidRPr="00BC59B6">
        <w:t>2</w:t>
      </w:r>
      <w:r w:rsidRPr="00BC59B6">
        <w:rPr>
          <w:rFonts w:ascii="Cambria Math" w:hAnsi="Cambria Math" w:cs="Cambria Math"/>
        </w:rPr>
        <w:t>𝜈</w:t>
      </w:r>
      <w:r w:rsidRPr="00BC59B6">
        <w:t>₆ (</w:t>
      </w:r>
      <w:r w:rsidRPr="00BC59B6">
        <w:rPr>
          <w:rFonts w:ascii="Cambria Math" w:hAnsi="Cambria Math" w:cs="Cambria Math"/>
        </w:rPr>
        <w:t>𝐽</w:t>
      </w:r>
      <w:r w:rsidRPr="00BC59B6">
        <w:t xml:space="preserve"> ≤ </w:t>
      </w:r>
      <w:r>
        <w:t>72</w:t>
      </w:r>
      <w:r w:rsidRPr="00BC59B6">
        <w:t xml:space="preserve">, </w:t>
      </w:r>
      <w:r w:rsidRPr="00BC59B6">
        <w:rPr>
          <w:rFonts w:ascii="Cambria Math" w:hAnsi="Cambria Math" w:cs="Cambria Math"/>
        </w:rPr>
        <w:t>𝐾</w:t>
      </w:r>
      <w:r w:rsidRPr="00BC59B6">
        <w:rPr>
          <w:vertAlign w:val="subscript"/>
        </w:rPr>
        <w:t>a</w:t>
      </w:r>
      <w:r w:rsidRPr="00BC59B6">
        <w:t xml:space="preserve"> ≤ 23) </w:t>
      </w:r>
      <w:r>
        <w:t>с</w:t>
      </w:r>
      <w:r w:rsidRPr="00BC59B6">
        <w:t xml:space="preserve"> </w:t>
      </w:r>
      <w:r w:rsidRPr="00863AB8">
        <w:rPr>
          <w:rStyle w:val="a6"/>
          <w:b w:val="0"/>
        </w:rPr>
        <w:t>RMSD = 3,1×10⁻⁴ см⁻¹</w:t>
      </w:r>
      <w:r w:rsidRPr="00BC59B6">
        <w:t xml:space="preserve">. </w:t>
      </w:r>
      <w:r>
        <w:t xml:space="preserve">Анализ </w:t>
      </w:r>
      <w:r w:rsidRPr="00E96E40">
        <w:t xml:space="preserve">спектра был </w:t>
      </w:r>
      <w:r>
        <w:t>о</w:t>
      </w:r>
      <w:r w:rsidRPr="00E96E40">
        <w:t>существ</w:t>
      </w:r>
      <w:r>
        <w:t>лен</w:t>
      </w:r>
      <w:r w:rsidRPr="00E96E40">
        <w:t xml:space="preserve"> </w:t>
      </w:r>
      <w:r>
        <w:t>при помощи</w:t>
      </w:r>
      <w:r w:rsidRPr="00E96E40">
        <w:t xml:space="preserve"> расчёта интенсивностей колебательно-вращательных переходов с использованием </w:t>
      </w:r>
      <w:proofErr w:type="spellStart"/>
      <w:r w:rsidRPr="00E96E40">
        <w:t>ab</w:t>
      </w:r>
      <w:proofErr w:type="spellEnd"/>
      <w:r w:rsidRPr="00E96E40">
        <w:t xml:space="preserve"> </w:t>
      </w:r>
      <w:proofErr w:type="spellStart"/>
      <w:r w:rsidRPr="00E96E40">
        <w:t>initio</w:t>
      </w:r>
      <w:proofErr w:type="spellEnd"/>
      <w:r w:rsidRPr="00E96E40">
        <w:t xml:space="preserve"> эффективного оператора дипольного момента</w:t>
      </w:r>
      <w:r>
        <w:t>, а также параметров центробежного искажения основного колебательного состояния</w:t>
      </w:r>
      <w:r w:rsidRPr="00E96E40">
        <w:t>, полученн</w:t>
      </w:r>
      <w:r>
        <w:t>ых</w:t>
      </w:r>
      <w:r w:rsidRPr="00E96E40">
        <w:t xml:space="preserve"> в рамках операторно</w:t>
      </w:r>
      <w:r>
        <w:t>й теории</w:t>
      </w:r>
      <w:r w:rsidRPr="00E96E40">
        <w:t xml:space="preserve"> возмущения Ван-</w:t>
      </w:r>
      <w:proofErr w:type="spellStart"/>
      <w:r w:rsidRPr="00E96E40">
        <w:t>Флека</w:t>
      </w:r>
      <w:proofErr w:type="spellEnd"/>
      <w:r w:rsidRPr="00E96E40">
        <w:t xml:space="preserve"> четвёртого порядка </w:t>
      </w:r>
      <w:proofErr w:type="gramStart"/>
      <w:r w:rsidRPr="00E96E40">
        <w:t>CVPT(</w:t>
      </w:r>
      <w:proofErr w:type="gramEnd"/>
      <w:r w:rsidRPr="00E96E40">
        <w:t>4)</w:t>
      </w:r>
      <w:r w:rsidRPr="00414D8C">
        <w:t>.</w:t>
      </w:r>
      <w:r>
        <w:t xml:space="preserve"> </w:t>
      </w:r>
      <w:r w:rsidRPr="00BC59B6">
        <w:t xml:space="preserve">Расшифровка экспериментального спектра выполнена с использованием пакета программ на </w:t>
      </w:r>
      <w:proofErr w:type="spellStart"/>
      <w:r w:rsidRPr="00863AB8">
        <w:rPr>
          <w:rStyle w:val="a6"/>
          <w:b w:val="0"/>
        </w:rPr>
        <w:t>Python</w:t>
      </w:r>
      <w:proofErr w:type="spellEnd"/>
      <w:r w:rsidRPr="00BC59B6">
        <w:t>, оснащённого расширенны</w:t>
      </w:r>
      <w:r>
        <w:t>м спектром</w:t>
      </w:r>
      <w:r w:rsidRPr="00BC59B6">
        <w:t xml:space="preserve"> графически</w:t>
      </w:r>
      <w:r>
        <w:t>х</w:t>
      </w:r>
      <w:r w:rsidRPr="00BC59B6">
        <w:t xml:space="preserve"> средств визуализации.</w:t>
      </w:r>
    </w:p>
    <w:p w:rsidR="00863AB8" w:rsidRPr="001B2137" w:rsidRDefault="00863AB8" w:rsidP="00863AB8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863AB8" w:rsidRDefault="00863AB8" w:rsidP="00863AB8">
      <w:pPr>
        <w:pStyle w:val="a3"/>
        <w:autoSpaceDE w:val="0"/>
        <w:autoSpaceDN w:val="0"/>
        <w:adjustRightInd w:val="0"/>
        <w:ind w:left="0"/>
        <w:jc w:val="both"/>
        <w:rPr>
          <w:lang w:val="en-US"/>
        </w:rPr>
      </w:pPr>
      <w:r w:rsidRPr="0054744F">
        <w:t xml:space="preserve">1. </w:t>
      </w:r>
      <w:r w:rsidRPr="00934476">
        <w:rPr>
          <w:lang w:val="en-US"/>
        </w:rPr>
        <w:t>E</w:t>
      </w:r>
      <w:r w:rsidRPr="0054744F">
        <w:t xml:space="preserve">. </w:t>
      </w:r>
      <w:r w:rsidRPr="00934476">
        <w:rPr>
          <w:lang w:val="en-US"/>
        </w:rPr>
        <w:t>O</w:t>
      </w:r>
      <w:r w:rsidRPr="0054744F">
        <w:t xml:space="preserve">. </w:t>
      </w:r>
      <w:r w:rsidRPr="00934476">
        <w:rPr>
          <w:lang w:val="en-US"/>
        </w:rPr>
        <w:t>Dobrolyubov</w:t>
      </w:r>
      <w:r w:rsidRPr="0054744F">
        <w:t xml:space="preserve"> </w:t>
      </w:r>
      <w:r>
        <w:rPr>
          <w:lang w:val="en-US"/>
        </w:rPr>
        <w:t>et</w:t>
      </w:r>
      <w:r w:rsidRPr="0054744F">
        <w:t xml:space="preserve"> </w:t>
      </w:r>
      <w:r>
        <w:rPr>
          <w:lang w:val="en-US"/>
        </w:rPr>
        <w:t>al</w:t>
      </w:r>
      <w:r w:rsidRPr="0054744F">
        <w:t xml:space="preserve">. </w:t>
      </w:r>
      <w:r w:rsidRPr="00934476">
        <w:rPr>
          <w:lang w:val="en-US"/>
        </w:rPr>
        <w:t xml:space="preserve">High-resolution </w:t>
      </w:r>
      <w:proofErr w:type="spellStart"/>
      <w:r w:rsidRPr="00934476">
        <w:rPr>
          <w:lang w:val="en-US"/>
        </w:rPr>
        <w:t>ro</w:t>
      </w:r>
      <w:proofErr w:type="spellEnd"/>
      <w:r w:rsidRPr="00934476">
        <w:rPr>
          <w:lang w:val="en-US"/>
        </w:rPr>
        <w:t xml:space="preserve">-vibrational analysis of </w:t>
      </w:r>
      <w:r>
        <w:rPr>
          <w:lang w:val="en-US"/>
        </w:rPr>
        <w:t>HCFC</w:t>
      </w:r>
      <w:r w:rsidRPr="00934476">
        <w:rPr>
          <w:lang w:val="en-US"/>
        </w:rPr>
        <w:t>-22: Deciphering ν</w:t>
      </w:r>
      <w:r w:rsidRPr="00A3773B">
        <w:rPr>
          <w:vertAlign w:val="subscript"/>
          <w:lang w:val="en-US"/>
        </w:rPr>
        <w:t>4</w:t>
      </w:r>
      <w:r w:rsidRPr="00934476">
        <w:rPr>
          <w:lang w:val="en-US"/>
        </w:rPr>
        <w:t xml:space="preserve"> and 2ν</w:t>
      </w:r>
      <w:r w:rsidRPr="00A3773B">
        <w:rPr>
          <w:vertAlign w:val="subscript"/>
          <w:lang w:val="en-US"/>
        </w:rPr>
        <w:t>6</w:t>
      </w:r>
      <w:r w:rsidRPr="00934476">
        <w:rPr>
          <w:lang w:val="en-US"/>
        </w:rPr>
        <w:t xml:space="preserve"> bands of </w:t>
      </w:r>
      <w:r w:rsidRPr="005F70E9">
        <w:rPr>
          <w:vertAlign w:val="superscript"/>
          <w:lang w:val="en-US"/>
        </w:rPr>
        <w:t>12</w:t>
      </w:r>
      <w:r>
        <w:rPr>
          <w:lang w:val="en-US"/>
        </w:rPr>
        <w:t>CH</w:t>
      </w:r>
      <w:r w:rsidRPr="005F70E9">
        <w:rPr>
          <w:vertAlign w:val="superscript"/>
          <w:lang w:val="en-US"/>
        </w:rPr>
        <w:t>35</w:t>
      </w:r>
      <w:r>
        <w:rPr>
          <w:lang w:val="en-US"/>
        </w:rPr>
        <w:t>ClF</w:t>
      </w:r>
      <w:r w:rsidRPr="009D0140">
        <w:rPr>
          <w:vertAlign w:val="subscript"/>
          <w:lang w:val="en-US"/>
        </w:rPr>
        <w:t>2</w:t>
      </w:r>
      <w:r w:rsidRPr="005F70E9">
        <w:rPr>
          <w:vertAlign w:val="superscript"/>
          <w:lang w:val="en-US"/>
        </w:rPr>
        <w:t xml:space="preserve"> </w:t>
      </w:r>
      <w:r w:rsidRPr="00934476">
        <w:rPr>
          <w:lang w:val="en-US"/>
        </w:rPr>
        <w:t>and ν</w:t>
      </w:r>
      <w:r w:rsidRPr="005F70E9">
        <w:rPr>
          <w:vertAlign w:val="subscript"/>
          <w:lang w:val="en-US"/>
        </w:rPr>
        <w:t>4</w:t>
      </w:r>
      <w:r w:rsidRPr="00934476">
        <w:rPr>
          <w:lang w:val="en-US"/>
        </w:rPr>
        <w:t xml:space="preserve"> band of </w:t>
      </w:r>
      <w:r w:rsidRPr="005F70E9">
        <w:rPr>
          <w:vertAlign w:val="superscript"/>
          <w:lang w:val="en-US"/>
        </w:rPr>
        <w:t>13</w:t>
      </w:r>
      <w:r>
        <w:rPr>
          <w:lang w:val="en-US"/>
        </w:rPr>
        <w:t>CH</w:t>
      </w:r>
      <w:r w:rsidRPr="005F70E9">
        <w:rPr>
          <w:vertAlign w:val="superscript"/>
          <w:lang w:val="en-US"/>
        </w:rPr>
        <w:t>35</w:t>
      </w:r>
      <w:r>
        <w:rPr>
          <w:lang w:val="en-US"/>
        </w:rPr>
        <w:t>ClF</w:t>
      </w:r>
      <w:r w:rsidRPr="00180CBF">
        <w:rPr>
          <w:vertAlign w:val="subscript"/>
          <w:lang w:val="en-US"/>
        </w:rPr>
        <w:t>2</w:t>
      </w:r>
      <w:r w:rsidRPr="00934476">
        <w:rPr>
          <w:lang w:val="en-US"/>
        </w:rPr>
        <w:t xml:space="preserve"> species</w:t>
      </w:r>
      <w:r>
        <w:rPr>
          <w:lang w:val="en-US"/>
        </w:rPr>
        <w:t xml:space="preserve"> //</w:t>
      </w:r>
      <w:r w:rsidRPr="00934476">
        <w:rPr>
          <w:lang w:val="en-US"/>
        </w:rPr>
        <w:t xml:space="preserve"> Journal of Quantitative Spectroscopy and Radiative Transfer, vol. 348, p. 109721,</w:t>
      </w:r>
      <w:r>
        <w:rPr>
          <w:lang w:val="en-US"/>
        </w:rPr>
        <w:t xml:space="preserve"> </w:t>
      </w:r>
      <w:r w:rsidRPr="00934476">
        <w:rPr>
          <w:lang w:val="en-US"/>
        </w:rPr>
        <w:t>2026.</w:t>
      </w:r>
    </w:p>
    <w:p w:rsidR="00544612" w:rsidRDefault="00863AB8" w:rsidP="00863AB8">
      <w:r w:rsidRPr="00AC2AC8">
        <w:rPr>
          <w:color w:val="222222"/>
          <w:shd w:val="clear" w:color="auto" w:fill="FFFFFF"/>
          <w:lang w:val="en-US"/>
        </w:rPr>
        <w:t xml:space="preserve">2. </w:t>
      </w:r>
      <w:r w:rsidRPr="000A2106">
        <w:rPr>
          <w:color w:val="222222"/>
          <w:shd w:val="clear" w:color="auto" w:fill="FFFFFF"/>
          <w:lang w:val="en-US"/>
        </w:rPr>
        <w:t>Chang X. et al. Normal ordering of the angular momentum cylindrical ladder operators and their products with Wigner D</w:t>
      </w:r>
      <w:r w:rsidRPr="000A2106">
        <w:rPr>
          <w:color w:val="222222"/>
          <w:shd w:val="clear" w:color="auto" w:fill="FFFFFF"/>
          <w:vertAlign w:val="superscript"/>
          <w:lang w:val="en-US"/>
        </w:rPr>
        <w:t>1</w:t>
      </w:r>
      <w:r w:rsidRPr="000A2106">
        <w:rPr>
          <w:color w:val="222222"/>
          <w:shd w:val="clear" w:color="auto" w:fill="FFFFFF"/>
          <w:vertAlign w:val="subscript"/>
          <w:lang w:val="en-US"/>
        </w:rPr>
        <w:t>0,</w:t>
      </w:r>
      <w:r w:rsidRPr="000A2106">
        <w:rPr>
          <w:color w:val="222222"/>
          <w:shd w:val="clear" w:color="auto" w:fill="FFFFFF"/>
          <w:vertAlign w:val="subscript"/>
        </w:rPr>
        <w:t>ε</w:t>
      </w:r>
      <w:r w:rsidRPr="000A2106">
        <w:rPr>
          <w:color w:val="222222"/>
          <w:shd w:val="clear" w:color="auto" w:fill="FFFFFF"/>
          <w:lang w:val="en-US"/>
        </w:rPr>
        <w:t xml:space="preserve"> functions // Th</w:t>
      </w:r>
      <w:r>
        <w:rPr>
          <w:color w:val="222222"/>
          <w:shd w:val="clear" w:color="auto" w:fill="FFFFFF"/>
          <w:lang w:val="en-US"/>
        </w:rPr>
        <w:t xml:space="preserve">e Journal of Chemical Physics. </w:t>
      </w:r>
      <w:r w:rsidRPr="00C84FE0">
        <w:rPr>
          <w:color w:val="222222"/>
          <w:shd w:val="clear" w:color="auto" w:fill="FFFFFF"/>
          <w:lang w:val="en-US"/>
        </w:rPr>
        <w:t xml:space="preserve">2023. </w:t>
      </w:r>
      <w:r w:rsidRPr="000A2106">
        <w:rPr>
          <w:color w:val="222222"/>
          <w:shd w:val="clear" w:color="auto" w:fill="FFFFFF"/>
          <w:lang w:val="en-US"/>
        </w:rPr>
        <w:t>Vol</w:t>
      </w:r>
      <w:r w:rsidRPr="00AC2AC8">
        <w:rPr>
          <w:color w:val="222222"/>
          <w:shd w:val="clear" w:color="auto" w:fill="FFFFFF"/>
        </w:rPr>
        <w:t>. 158. №. 10.</w:t>
      </w:r>
      <w:r w:rsidRPr="00AC2AC8">
        <w:rPr>
          <w:color w:val="222222"/>
          <w:sz w:val="26"/>
          <w:szCs w:val="26"/>
          <w:shd w:val="clear" w:color="auto" w:fill="FFFFFF"/>
        </w:rPr>
        <w:t xml:space="preserve"> </w:t>
      </w:r>
      <w:r w:rsidRPr="000A2106">
        <w:rPr>
          <w:color w:val="222222"/>
          <w:shd w:val="clear" w:color="auto" w:fill="FFFFFF"/>
          <w:lang w:val="en-US"/>
        </w:rPr>
        <w:t>P</w:t>
      </w:r>
      <w:r w:rsidRPr="00AC2AC8">
        <w:rPr>
          <w:color w:val="222222"/>
          <w:shd w:val="clear" w:color="auto" w:fill="FFFFFF"/>
        </w:rPr>
        <w:t xml:space="preserve">. </w:t>
      </w:r>
      <w:r w:rsidRPr="00AC2AC8">
        <w:rPr>
          <w:rFonts w:eastAsia="MinionPro-Regular"/>
          <w:lang w:eastAsia="en-US"/>
        </w:rPr>
        <w:t>104802.</w:t>
      </w:r>
    </w:p>
    <w:sectPr w:rsidR="0054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Pro-Regular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B8"/>
    <w:rsid w:val="00544612"/>
    <w:rsid w:val="0086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14DE5"/>
  <w15:chartTrackingRefBased/>
  <w15:docId w15:val="{5B9EF98E-FFC0-434A-9BC4-CD1AC4BC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3AB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863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863AB8"/>
    <w:rPr>
      <w:color w:val="0563C1" w:themeColor="hyperlink"/>
      <w:u w:val="single"/>
    </w:rPr>
  </w:style>
  <w:style w:type="character" w:styleId="a6">
    <w:name w:val="Strong"/>
    <w:uiPriority w:val="22"/>
    <w:qFormat/>
    <w:rsid w:val="00863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ia.efremov@chemistry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dcterms:created xsi:type="dcterms:W3CDTF">2026-04-30T09:24:00Z</dcterms:created>
  <dcterms:modified xsi:type="dcterms:W3CDTF">2026-04-30T09:30:00Z</dcterms:modified>
</cp:coreProperties>
</file>