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45" w:rsidRPr="008A65F3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A65F3">
        <w:rPr>
          <w:b/>
          <w:color w:val="000000"/>
        </w:rPr>
        <w:t>Электронные спектры 1,3,5-трис[5-фенил-(1,3,4)-оксадиазол-2-ил]бензола</w:t>
      </w:r>
      <w:r>
        <w:rPr>
          <w:b/>
          <w:color w:val="000000"/>
        </w:rPr>
        <w:br/>
        <w:t xml:space="preserve"> и его производных</w:t>
      </w:r>
    </w:p>
    <w:p w:rsidR="00326245" w:rsidRPr="00F40FF2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</w:rPr>
        <w:t>Коновалова А.</w:t>
      </w:r>
      <w:r w:rsidRPr="0052417F">
        <w:rPr>
          <w:b/>
          <w:i/>
          <w:color w:val="000000"/>
        </w:rPr>
        <w:t xml:space="preserve">А., </w:t>
      </w:r>
      <w:r w:rsidRPr="00F40FF2">
        <w:rPr>
          <w:b/>
          <w:i/>
          <w:color w:val="000000"/>
        </w:rPr>
        <w:t>Салькова А.М</w:t>
      </w:r>
      <w:r>
        <w:rPr>
          <w:b/>
          <w:i/>
          <w:color w:val="000000"/>
        </w:rPr>
        <w:t>.</w:t>
      </w:r>
    </w:p>
    <w:p w:rsidR="00326245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326245" w:rsidRPr="000E334E" w:rsidRDefault="00326245" w:rsidP="0032624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Ивановский государственный университет,</w:t>
      </w:r>
      <w:r>
        <w:rPr>
          <w:i/>
          <w:color w:val="000000"/>
        </w:rPr>
        <w:br/>
      </w:r>
      <w:proofErr w:type="spellStart"/>
      <w:r w:rsidRPr="002257AD">
        <w:rPr>
          <w:i/>
          <w:color w:val="000000"/>
        </w:rPr>
        <w:t>ИМИТиЕН</w:t>
      </w:r>
      <w:proofErr w:type="spellEnd"/>
      <w:r>
        <w:rPr>
          <w:i/>
          <w:color w:val="000000"/>
        </w:rPr>
        <w:t>, Иваново, Россия</w:t>
      </w:r>
    </w:p>
    <w:p w:rsidR="00326245" w:rsidRPr="008144F0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565393">
        <w:rPr>
          <w:i/>
          <w:color w:val="000000"/>
          <w:lang w:val="en-US"/>
        </w:rPr>
        <w:t>E</w:t>
      </w:r>
      <w:r w:rsidRPr="008144F0">
        <w:rPr>
          <w:i/>
          <w:color w:val="000000"/>
        </w:rPr>
        <w:t>-</w:t>
      </w:r>
      <w:r w:rsidRPr="00565393">
        <w:rPr>
          <w:i/>
          <w:color w:val="000000"/>
          <w:lang w:val="en-US"/>
        </w:rPr>
        <w:t>mail</w:t>
      </w:r>
      <w:r w:rsidRPr="008144F0">
        <w:rPr>
          <w:i/>
          <w:color w:val="000000"/>
        </w:rPr>
        <w:t xml:space="preserve">: </w:t>
      </w:r>
      <w:hyperlink r:id="rId4" w:history="1">
        <w:r w:rsidRPr="008144F0">
          <w:rPr>
            <w:rStyle w:val="a3"/>
            <w:i/>
            <w:lang w:val="en-US"/>
          </w:rPr>
          <w:t>Konovalovaaalena</w:t>
        </w:r>
        <w:r w:rsidRPr="008144F0">
          <w:rPr>
            <w:rStyle w:val="a3"/>
            <w:i/>
          </w:rPr>
          <w:t>@</w:t>
        </w:r>
        <w:r w:rsidRPr="008144F0">
          <w:rPr>
            <w:rStyle w:val="a3"/>
            <w:i/>
            <w:lang w:val="en-US"/>
          </w:rPr>
          <w:t>yandex</w:t>
        </w:r>
        <w:r w:rsidRPr="008144F0">
          <w:rPr>
            <w:rStyle w:val="a3"/>
            <w:i/>
          </w:rPr>
          <w:t>.</w:t>
        </w:r>
        <w:r w:rsidRPr="008144F0">
          <w:rPr>
            <w:rStyle w:val="a3"/>
            <w:i/>
            <w:lang w:val="en-US"/>
          </w:rPr>
          <w:t>ru</w:t>
        </w:r>
      </w:hyperlink>
    </w:p>
    <w:p w:rsidR="00326245" w:rsidRPr="00E43043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A65F3">
        <w:t xml:space="preserve">Сегодня одной из актуальных задач в химии является поиск новых </w:t>
      </w:r>
      <w:r>
        <w:t xml:space="preserve">производных </w:t>
      </w:r>
      <w:r w:rsidRPr="008A65F3">
        <w:t>1,3,4-</w:t>
      </w:r>
      <w:r>
        <w:t>оксадиазола</w:t>
      </w:r>
      <w:r w:rsidRPr="008A65F3">
        <w:t xml:space="preserve">, обладающих спектральными и люминесцентными </w:t>
      </w:r>
      <w:r>
        <w:t xml:space="preserve">свойствами. </w:t>
      </w:r>
      <w:r w:rsidRPr="006D2C21">
        <w:t>С использованием квантово</w:t>
      </w:r>
      <w:r>
        <w:t xml:space="preserve">й </w:t>
      </w:r>
      <w:r w:rsidRPr="006D2C21">
        <w:t>хими</w:t>
      </w:r>
      <w:r>
        <w:t>и</w:t>
      </w:r>
      <w:r>
        <w:rPr>
          <w:color w:val="000000"/>
        </w:rPr>
        <w:t xml:space="preserve"> было определено геометрическое строение и выполнен расчет спектров </w:t>
      </w:r>
      <w:bookmarkStart w:id="0" w:name="_GoBack"/>
      <w:bookmarkEnd w:id="0"/>
      <w:r>
        <w:rPr>
          <w:color w:val="000000"/>
        </w:rPr>
        <w:t>поглощения и испускания (</w:t>
      </w:r>
      <w:r>
        <w:rPr>
          <w:lang w:val="en-US"/>
        </w:rPr>
        <w:t>TD</w:t>
      </w:r>
      <w:r w:rsidRPr="008358C9">
        <w:t>-</w:t>
      </w:r>
      <w:r>
        <w:rPr>
          <w:lang w:val="en-US"/>
        </w:rPr>
        <w:t>DFT</w:t>
      </w:r>
      <w:r>
        <w:t>/</w:t>
      </w:r>
      <w:r w:rsidRPr="008358C9">
        <w:rPr>
          <w:lang w:val="en-US"/>
        </w:rPr>
        <w:t>B</w:t>
      </w:r>
      <w:r w:rsidRPr="008358C9">
        <w:t>3</w:t>
      </w:r>
      <w:r w:rsidRPr="008358C9">
        <w:rPr>
          <w:lang w:val="en-US"/>
        </w:rPr>
        <w:t>LYP</w:t>
      </w:r>
      <w:r w:rsidRPr="008358C9">
        <w:t>/6-311</w:t>
      </w:r>
      <w:r w:rsidRPr="008358C9">
        <w:rPr>
          <w:lang w:val="en-US"/>
        </w:rPr>
        <w:t>G</w:t>
      </w:r>
      <w:r w:rsidRPr="008358C9">
        <w:t>**</w:t>
      </w:r>
      <w:r>
        <w:rPr>
          <w:color w:val="000000"/>
        </w:rPr>
        <w:t>) для четырех молекул на основе</w:t>
      </w:r>
      <w:r w:rsidRPr="007A4EDB">
        <w:t xml:space="preserve"> </w:t>
      </w:r>
      <w:r>
        <w:rPr>
          <w:color w:val="000000"/>
        </w:rPr>
        <w:t>1,3,5</w:t>
      </w:r>
      <w:r>
        <w:t>-</w:t>
      </w:r>
      <w:r>
        <w:rPr>
          <w:color w:val="000000"/>
        </w:rPr>
        <w:t>т</w:t>
      </w:r>
      <w:r w:rsidRPr="007A4EDB">
        <w:rPr>
          <w:color w:val="000000"/>
        </w:rPr>
        <w:t>ри</w:t>
      </w:r>
      <w:r>
        <w:rPr>
          <w:color w:val="000000"/>
        </w:rPr>
        <w:t>с</w:t>
      </w:r>
      <w:r w:rsidRPr="007A4EDB">
        <w:rPr>
          <w:color w:val="000000"/>
        </w:rPr>
        <w:t>[5-фенил-(1,3,4)-оксадиазол-2-</w:t>
      </w:r>
      <w:proofErr w:type="gramStart"/>
      <w:r w:rsidRPr="007A4EDB">
        <w:rPr>
          <w:color w:val="000000"/>
        </w:rPr>
        <w:t>ил]бензол</w:t>
      </w:r>
      <w:r>
        <w:rPr>
          <w:color w:val="000000"/>
        </w:rPr>
        <w:t>а</w:t>
      </w:r>
      <w:proofErr w:type="gramEnd"/>
      <w:r>
        <w:rPr>
          <w:color w:val="000000"/>
        </w:rPr>
        <w:t xml:space="preserve"> с различными заместителями (рис.). </w:t>
      </w:r>
      <w:r>
        <w:t>Р</w:t>
      </w:r>
      <w:r w:rsidRPr="0046754E">
        <w:t>ассмотренны</w:t>
      </w:r>
      <w:r>
        <w:t>е</w:t>
      </w:r>
      <w:r w:rsidRPr="0046754E">
        <w:t xml:space="preserve"> молекул</w:t>
      </w:r>
      <w:r>
        <w:t>ы</w:t>
      </w:r>
      <w:r w:rsidRPr="0046754E">
        <w:t xml:space="preserve"> име</w:t>
      </w:r>
      <w:r>
        <w:t>ю</w:t>
      </w:r>
      <w:r w:rsidRPr="0046754E">
        <w:t xml:space="preserve">т несколько </w:t>
      </w:r>
      <w:proofErr w:type="spellStart"/>
      <w:r w:rsidRPr="0046754E">
        <w:t>конфор</w:t>
      </w:r>
      <w:r>
        <w:t>меров</w:t>
      </w:r>
      <w:proofErr w:type="spellEnd"/>
      <w:r>
        <w:t>, для исследований выбраны наиболее энергетически выгодные структуры.</w:t>
      </w:r>
    </w:p>
    <w:p w:rsidR="00326245" w:rsidRPr="00FB53C8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6856AFAB" wp14:editId="609E265C">
            <wp:extent cx="5018405" cy="2193576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2" t="5489" r="1067" b="11099"/>
                    <a:stretch/>
                  </pic:blipFill>
                  <pic:spPr bwMode="auto">
                    <a:xfrm>
                      <a:off x="0" y="0"/>
                      <a:ext cx="5023910" cy="219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245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</w:t>
      </w:r>
      <w:r w:rsidRPr="00C80E89">
        <w:t xml:space="preserve"> </w:t>
      </w:r>
      <w:r w:rsidRPr="006D2C21">
        <w:t xml:space="preserve">Диаграмма граничных </w:t>
      </w:r>
      <w:proofErr w:type="spellStart"/>
      <w:r w:rsidRPr="006D2C21">
        <w:t>орбиталей</w:t>
      </w:r>
      <w:proofErr w:type="spellEnd"/>
      <w:r w:rsidRPr="006D2C21">
        <w:t xml:space="preserve"> для ряда производных </w:t>
      </w:r>
      <w:r>
        <w:t>1,3,4-оксадиазола</w:t>
      </w:r>
    </w:p>
    <w:p w:rsidR="00326245" w:rsidRPr="0045144D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Из диаграммы граничных молекулярных </w:t>
      </w:r>
      <w:proofErr w:type="spellStart"/>
      <w:r>
        <w:t>орбиталей</w:t>
      </w:r>
      <w:proofErr w:type="spellEnd"/>
      <w:r w:rsidRPr="0045144D">
        <w:t xml:space="preserve"> </w:t>
      </w:r>
      <w:r>
        <w:t xml:space="preserve">видно </w:t>
      </w:r>
      <w:r w:rsidRPr="0045144D">
        <w:t xml:space="preserve">значительное </w:t>
      </w:r>
      <w:r>
        <w:t>уменьшение</w:t>
      </w:r>
      <w:r w:rsidRPr="0045144D">
        <w:t xml:space="preserve"> ∆E</w:t>
      </w:r>
      <w:r w:rsidRPr="0045144D">
        <w:rPr>
          <w:vertAlign w:val="subscript"/>
          <w:lang w:val="en-US"/>
        </w:rPr>
        <w:t>gap</w:t>
      </w:r>
      <w:r w:rsidRPr="0045144D">
        <w:t>=</w:t>
      </w:r>
      <w:r w:rsidRPr="001A64D3">
        <w:t xml:space="preserve"> </w:t>
      </w:r>
      <w:r w:rsidRPr="0045144D">
        <w:t>Е</w:t>
      </w:r>
      <w:r w:rsidRPr="0045144D">
        <w:rPr>
          <w:vertAlign w:val="subscript"/>
        </w:rPr>
        <w:t>НСМО</w:t>
      </w:r>
      <w:r w:rsidRPr="0045144D">
        <w:t>-Е</w:t>
      </w:r>
      <w:r w:rsidRPr="0045144D">
        <w:rPr>
          <w:vertAlign w:val="subscript"/>
        </w:rPr>
        <w:t>ВЗМО</w:t>
      </w:r>
      <w:r>
        <w:rPr>
          <w:vertAlign w:val="subscript"/>
        </w:rPr>
        <w:t xml:space="preserve"> </w:t>
      </w:r>
      <w:r w:rsidRPr="000C5327">
        <w:t>при переходе от структ</w:t>
      </w:r>
      <w:r>
        <w:t>у</w:t>
      </w:r>
      <w:r w:rsidRPr="000C5327">
        <w:t>ры</w:t>
      </w:r>
      <w:r>
        <w:t xml:space="preserve"> </w:t>
      </w:r>
      <w:r w:rsidRPr="009A2FEF">
        <w:rPr>
          <w:b/>
        </w:rPr>
        <w:t>1</w:t>
      </w:r>
      <w:r>
        <w:t xml:space="preserve"> к структуре </w:t>
      </w:r>
      <w:r w:rsidRPr="009A2FEF">
        <w:rPr>
          <w:b/>
        </w:rPr>
        <w:t>4</w:t>
      </w:r>
      <w:r>
        <w:t>, а замещение -</w:t>
      </w:r>
      <w:r>
        <w:rPr>
          <w:lang w:val="en-US"/>
        </w:rPr>
        <w:t>OCH</w:t>
      </w:r>
      <w:r w:rsidRPr="000E2701">
        <w:rPr>
          <w:vertAlign w:val="subscript"/>
        </w:rPr>
        <w:t xml:space="preserve">3 </w:t>
      </w:r>
      <w:r w:rsidRPr="00476C84">
        <w:t xml:space="preserve">структуры </w:t>
      </w:r>
      <w:r w:rsidRPr="009A2FEF">
        <w:rPr>
          <w:b/>
        </w:rPr>
        <w:t>2</w:t>
      </w:r>
      <w:r>
        <w:rPr>
          <w:vertAlign w:val="subscript"/>
        </w:rPr>
        <w:t xml:space="preserve"> </w:t>
      </w:r>
      <w:r>
        <w:t>на –</w:t>
      </w:r>
      <w:r>
        <w:rPr>
          <w:lang w:val="en-US"/>
        </w:rPr>
        <w:t>O</w:t>
      </w:r>
      <w:r>
        <w:t>-</w:t>
      </w:r>
      <w:r>
        <w:rPr>
          <w:lang w:val="en-US"/>
        </w:rPr>
        <w:t>CH</w:t>
      </w:r>
      <w:r w:rsidRPr="000E2701">
        <w:rPr>
          <w:vertAlign w:val="subscript"/>
        </w:rPr>
        <w:t>2</w:t>
      </w:r>
      <w:r>
        <w:t>-С</w:t>
      </w:r>
      <w:r w:rsidRPr="00D8284B"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3</w:t>
      </w:r>
      <w:r w:rsidRPr="00D8284B">
        <w:t>(</w:t>
      </w:r>
      <w:r>
        <w:rPr>
          <w:lang w:val="en-US"/>
        </w:rPr>
        <w:t>OCH</w:t>
      </w:r>
      <w:r w:rsidRPr="000E2701">
        <w:rPr>
          <w:vertAlign w:val="subscript"/>
        </w:rPr>
        <w:t>3</w:t>
      </w:r>
      <w:r w:rsidRPr="00D8284B">
        <w:t>)</w:t>
      </w:r>
      <w:r w:rsidRPr="000E2701">
        <w:rPr>
          <w:vertAlign w:val="subscript"/>
        </w:rPr>
        <w:t>2</w:t>
      </w:r>
      <w:r w:rsidRPr="00D8284B">
        <w:t xml:space="preserve"> </w:t>
      </w:r>
      <w:r>
        <w:t xml:space="preserve">структуры </w:t>
      </w:r>
      <w:r w:rsidRPr="009A2FEF">
        <w:rPr>
          <w:b/>
        </w:rPr>
        <w:t>3</w:t>
      </w:r>
      <w:r>
        <w:t xml:space="preserve"> практически не изменяет </w:t>
      </w:r>
      <w:r w:rsidRPr="0045144D">
        <w:t>∆E</w:t>
      </w:r>
      <w:r w:rsidRPr="0045144D">
        <w:rPr>
          <w:vertAlign w:val="subscript"/>
          <w:lang w:val="en-US"/>
        </w:rPr>
        <w:t>gap</w:t>
      </w:r>
      <w:r>
        <w:t xml:space="preserve">. </w:t>
      </w:r>
    </w:p>
    <w:p w:rsidR="00326245" w:rsidRPr="00687C39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9"/>
        <w:rPr>
          <w:color w:val="000000"/>
        </w:rPr>
      </w:pPr>
      <w:r>
        <w:rPr>
          <w:color w:val="000000"/>
        </w:rPr>
        <w:t xml:space="preserve">Таблица. Спектральные характеристики производных </w:t>
      </w:r>
      <w:r>
        <w:t>1,3,4-оксадиазола</w:t>
      </w:r>
    </w:p>
    <w:tbl>
      <w:tblPr>
        <w:tblStyle w:val="a4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1124"/>
        <w:gridCol w:w="1275"/>
        <w:gridCol w:w="1418"/>
        <w:gridCol w:w="1276"/>
        <w:gridCol w:w="992"/>
        <w:gridCol w:w="1139"/>
      </w:tblGrid>
      <w:tr w:rsidR="00326245" w:rsidRPr="00AD54AF" w:rsidTr="00A25191">
        <w:trPr>
          <w:jc w:val="center"/>
        </w:trPr>
        <w:tc>
          <w:tcPr>
            <w:tcW w:w="1565" w:type="dxa"/>
          </w:tcPr>
          <w:p w:rsidR="00326245" w:rsidRPr="00AD54AF" w:rsidRDefault="00326245" w:rsidP="00A25191">
            <w:pPr>
              <w:jc w:val="center"/>
              <w:rPr>
                <w:bCs/>
              </w:rPr>
            </w:pPr>
          </w:p>
        </w:tc>
        <w:tc>
          <w:tcPr>
            <w:tcW w:w="2399" w:type="dxa"/>
            <w:gridSpan w:val="2"/>
          </w:tcPr>
          <w:p w:rsidR="00326245" w:rsidRPr="00AD54AF" w:rsidRDefault="00326245" w:rsidP="00A25191">
            <w:pPr>
              <w:jc w:val="center"/>
              <w:rPr>
                <w:bCs/>
              </w:rPr>
            </w:pPr>
            <w:r w:rsidRPr="00AD54AF">
              <w:rPr>
                <w:bCs/>
              </w:rPr>
              <w:t>Поглощение</w:t>
            </w:r>
          </w:p>
        </w:tc>
        <w:tc>
          <w:tcPr>
            <w:tcW w:w="2694" w:type="dxa"/>
            <w:gridSpan w:val="2"/>
          </w:tcPr>
          <w:p w:rsidR="00326245" w:rsidRPr="00AD54AF" w:rsidRDefault="00326245" w:rsidP="00A25191">
            <w:pPr>
              <w:jc w:val="center"/>
            </w:pPr>
            <w:r w:rsidRPr="00AD54AF">
              <w:t>Испускание</w:t>
            </w:r>
          </w:p>
        </w:tc>
        <w:tc>
          <w:tcPr>
            <w:tcW w:w="2131" w:type="dxa"/>
            <w:gridSpan w:val="2"/>
          </w:tcPr>
          <w:p w:rsidR="00326245" w:rsidRPr="00AD54AF" w:rsidRDefault="00326245" w:rsidP="00A25191">
            <w:pPr>
              <w:rPr>
                <w:rFonts w:eastAsia="TimesNewRoman"/>
              </w:rPr>
            </w:pPr>
            <w:r w:rsidRPr="00AD54AF">
              <w:rPr>
                <w:rFonts w:eastAsia="TimesNewRoman"/>
              </w:rPr>
              <w:t xml:space="preserve">Стоксов сдвиг, </w:t>
            </w:r>
            <w:proofErr w:type="spellStart"/>
            <w:r w:rsidRPr="00AD54AF">
              <w:rPr>
                <w:rFonts w:eastAsia="TimesNewRoman"/>
              </w:rPr>
              <w:t>нм</w:t>
            </w:r>
            <w:proofErr w:type="spellEnd"/>
          </w:p>
        </w:tc>
      </w:tr>
      <w:tr w:rsidR="00326245" w:rsidRPr="00AD54AF" w:rsidTr="00A25191">
        <w:trPr>
          <w:jc w:val="center"/>
        </w:trPr>
        <w:tc>
          <w:tcPr>
            <w:tcW w:w="1565" w:type="dxa"/>
          </w:tcPr>
          <w:p w:rsidR="00326245" w:rsidRPr="00AD54AF" w:rsidRDefault="00326245" w:rsidP="00A25191">
            <w:pPr>
              <w:jc w:val="center"/>
              <w:rPr>
                <w:bCs/>
              </w:rPr>
            </w:pPr>
          </w:p>
        </w:tc>
        <w:tc>
          <w:tcPr>
            <w:tcW w:w="1124" w:type="dxa"/>
          </w:tcPr>
          <w:p w:rsidR="00326245" w:rsidRPr="00AD54AF" w:rsidRDefault="00326245" w:rsidP="00A25191">
            <w:pPr>
              <w:ind w:left="28"/>
              <w:jc w:val="center"/>
              <w:rPr>
                <w:rFonts w:eastAsia="TimesNewRoman"/>
              </w:rPr>
            </w:pPr>
            <w:proofErr w:type="spellStart"/>
            <w:r w:rsidRPr="00AD54AF">
              <w:rPr>
                <w:rFonts w:eastAsia="TimesNewRoman"/>
              </w:rPr>
              <w:t>λ</w:t>
            </w:r>
            <w:r w:rsidRPr="00AD54AF">
              <w:rPr>
                <w:rFonts w:eastAsia="TimesNewRoman"/>
                <w:vertAlign w:val="subscript"/>
              </w:rPr>
              <w:t>теор</w:t>
            </w:r>
            <w:proofErr w:type="spellEnd"/>
            <w:r w:rsidRPr="00AD54AF">
              <w:rPr>
                <w:rFonts w:eastAsia="TimesNewRoman"/>
              </w:rPr>
              <w:t xml:space="preserve">, </w:t>
            </w:r>
            <w:r w:rsidRPr="00AD54AF">
              <w:rPr>
                <w:bCs/>
              </w:rPr>
              <w:t xml:space="preserve"> </w:t>
            </w:r>
            <w:proofErr w:type="spellStart"/>
            <w:r w:rsidRPr="00AD54AF">
              <w:rPr>
                <w:bCs/>
              </w:rPr>
              <w:t>нм</w:t>
            </w:r>
            <w:proofErr w:type="spellEnd"/>
          </w:p>
        </w:tc>
        <w:tc>
          <w:tcPr>
            <w:tcW w:w="1275" w:type="dxa"/>
          </w:tcPr>
          <w:p w:rsidR="00326245" w:rsidRPr="00AD54AF" w:rsidRDefault="00326245" w:rsidP="00A25191">
            <w:pPr>
              <w:jc w:val="center"/>
              <w:rPr>
                <w:rFonts w:eastAsia="TimesNewRoman"/>
              </w:rPr>
            </w:pPr>
            <w:proofErr w:type="spellStart"/>
            <w:r w:rsidRPr="00AD54AF">
              <w:rPr>
                <w:rFonts w:eastAsia="TimesNewRoman"/>
              </w:rPr>
              <w:t>λ</w:t>
            </w:r>
            <w:r w:rsidRPr="00AD54AF">
              <w:rPr>
                <w:rFonts w:eastAsia="TimesNewRoman"/>
                <w:vertAlign w:val="subscript"/>
              </w:rPr>
              <w:t>эксп</w:t>
            </w:r>
            <w:proofErr w:type="spellEnd"/>
            <w:r w:rsidRPr="00AD54AF">
              <w:rPr>
                <w:rFonts w:eastAsia="TimesNewRoman"/>
              </w:rPr>
              <w:t xml:space="preserve">, </w:t>
            </w:r>
            <w:proofErr w:type="spellStart"/>
            <w:r w:rsidRPr="00AD54AF">
              <w:rPr>
                <w:rFonts w:eastAsia="TimesNewRoman"/>
              </w:rPr>
              <w:t>нм</w:t>
            </w:r>
            <w:proofErr w:type="spellEnd"/>
          </w:p>
        </w:tc>
        <w:tc>
          <w:tcPr>
            <w:tcW w:w="1418" w:type="dxa"/>
          </w:tcPr>
          <w:p w:rsidR="00326245" w:rsidRPr="00AD54AF" w:rsidRDefault="00326245" w:rsidP="00A25191">
            <w:pPr>
              <w:ind w:left="43"/>
              <w:jc w:val="center"/>
              <w:rPr>
                <w:rFonts w:eastAsia="TimesNewRoman"/>
              </w:rPr>
            </w:pPr>
            <w:proofErr w:type="spellStart"/>
            <w:r w:rsidRPr="00AD54AF">
              <w:rPr>
                <w:rFonts w:eastAsia="TimesNewRoman"/>
              </w:rPr>
              <w:t>λ</w:t>
            </w:r>
            <w:r w:rsidRPr="00AD54AF">
              <w:rPr>
                <w:rFonts w:eastAsia="TimesNewRoman"/>
                <w:vertAlign w:val="subscript"/>
              </w:rPr>
              <w:t>теор</w:t>
            </w:r>
            <w:proofErr w:type="spellEnd"/>
            <w:r w:rsidRPr="00AD54AF">
              <w:rPr>
                <w:rFonts w:eastAsia="TimesNewRoman"/>
              </w:rPr>
              <w:t xml:space="preserve">, </w:t>
            </w:r>
            <w:r w:rsidRPr="00AD54AF">
              <w:rPr>
                <w:bCs/>
              </w:rPr>
              <w:t xml:space="preserve"> </w:t>
            </w:r>
            <w:proofErr w:type="spellStart"/>
            <w:r w:rsidRPr="00AD54AF">
              <w:rPr>
                <w:bCs/>
              </w:rPr>
              <w:t>нм</w:t>
            </w:r>
            <w:proofErr w:type="spellEnd"/>
          </w:p>
        </w:tc>
        <w:tc>
          <w:tcPr>
            <w:tcW w:w="1276" w:type="dxa"/>
          </w:tcPr>
          <w:p w:rsidR="00326245" w:rsidRPr="00AD54AF" w:rsidRDefault="00326245" w:rsidP="00A25191">
            <w:pPr>
              <w:ind w:left="38"/>
              <w:jc w:val="center"/>
              <w:rPr>
                <w:rFonts w:eastAsia="TimesNewRoman"/>
              </w:rPr>
            </w:pPr>
            <w:proofErr w:type="spellStart"/>
            <w:r w:rsidRPr="00AD54AF">
              <w:rPr>
                <w:rFonts w:eastAsia="TimesNewRoman"/>
              </w:rPr>
              <w:t>λ</w:t>
            </w:r>
            <w:r w:rsidRPr="00AD54AF">
              <w:rPr>
                <w:rFonts w:eastAsia="TimesNewRoman"/>
                <w:vertAlign w:val="subscript"/>
              </w:rPr>
              <w:t>эксп</w:t>
            </w:r>
            <w:proofErr w:type="spellEnd"/>
            <w:r w:rsidRPr="00AD54AF">
              <w:rPr>
                <w:rFonts w:eastAsia="TimesNewRoman"/>
              </w:rPr>
              <w:t xml:space="preserve">, </w:t>
            </w:r>
            <w:proofErr w:type="spellStart"/>
            <w:r w:rsidRPr="00AD54AF">
              <w:rPr>
                <w:rFonts w:eastAsia="TimesNewRoman"/>
              </w:rPr>
              <w:t>нм</w:t>
            </w:r>
            <w:proofErr w:type="spellEnd"/>
          </w:p>
        </w:tc>
        <w:tc>
          <w:tcPr>
            <w:tcW w:w="992" w:type="dxa"/>
          </w:tcPr>
          <w:p w:rsidR="00326245" w:rsidRPr="00AD54AF" w:rsidRDefault="00326245" w:rsidP="00A25191">
            <w:pPr>
              <w:ind w:left="41"/>
              <w:jc w:val="center"/>
              <w:rPr>
                <w:rFonts w:eastAsia="TimesNewRoman"/>
                <w:vertAlign w:val="subscript"/>
              </w:rPr>
            </w:pPr>
            <w:r w:rsidRPr="00AD54AF">
              <w:rPr>
                <w:rFonts w:eastAsia="TimesNewRoman"/>
                <w:vertAlign w:val="subscript"/>
              </w:rPr>
              <w:t>теория</w:t>
            </w:r>
          </w:p>
        </w:tc>
        <w:tc>
          <w:tcPr>
            <w:tcW w:w="1139" w:type="dxa"/>
          </w:tcPr>
          <w:p w:rsidR="00326245" w:rsidRPr="00AD54AF" w:rsidRDefault="00326245" w:rsidP="00A25191">
            <w:pPr>
              <w:ind w:left="29"/>
              <w:jc w:val="center"/>
              <w:rPr>
                <w:rFonts w:eastAsia="TimesNewRoman"/>
                <w:vertAlign w:val="subscript"/>
              </w:rPr>
            </w:pPr>
            <w:r w:rsidRPr="00AD54AF">
              <w:rPr>
                <w:rFonts w:eastAsia="TimesNewRoman"/>
                <w:vertAlign w:val="subscript"/>
              </w:rPr>
              <w:t>эксперимент</w:t>
            </w:r>
          </w:p>
        </w:tc>
      </w:tr>
      <w:tr w:rsidR="00326245" w:rsidRPr="00AD54AF" w:rsidTr="00A25191">
        <w:trPr>
          <w:jc w:val="center"/>
        </w:trPr>
        <w:tc>
          <w:tcPr>
            <w:tcW w:w="1565" w:type="dxa"/>
          </w:tcPr>
          <w:p w:rsidR="00326245" w:rsidRPr="00AD54AF" w:rsidRDefault="00326245" w:rsidP="00A25191">
            <w:pPr>
              <w:ind w:left="25"/>
              <w:jc w:val="center"/>
              <w:rPr>
                <w:bCs/>
                <w:vertAlign w:val="subscript"/>
              </w:rPr>
            </w:pPr>
            <w:r w:rsidRPr="00AD54AF">
              <w:rPr>
                <w:bCs/>
              </w:rPr>
              <w:t>Структура 1</w:t>
            </w:r>
          </w:p>
        </w:tc>
        <w:tc>
          <w:tcPr>
            <w:tcW w:w="1124" w:type="dxa"/>
          </w:tcPr>
          <w:p w:rsidR="00326245" w:rsidRPr="00AD54AF" w:rsidRDefault="00326245" w:rsidP="00A25191">
            <w:pPr>
              <w:ind w:left="28"/>
              <w:jc w:val="center"/>
              <w:rPr>
                <w:bCs/>
              </w:rPr>
            </w:pPr>
            <w:r w:rsidRPr="00AD54AF">
              <w:rPr>
                <w:bCs/>
              </w:rPr>
              <w:t>318</w:t>
            </w:r>
          </w:p>
        </w:tc>
        <w:tc>
          <w:tcPr>
            <w:tcW w:w="1275" w:type="dxa"/>
          </w:tcPr>
          <w:p w:rsidR="00326245" w:rsidRPr="00AD54AF" w:rsidRDefault="00326245" w:rsidP="00A25191">
            <w:pPr>
              <w:jc w:val="center"/>
              <w:rPr>
                <w:bCs/>
                <w:lang w:val="en-US"/>
              </w:rPr>
            </w:pPr>
            <w:r w:rsidRPr="00AD54AF">
              <w:rPr>
                <w:bCs/>
              </w:rPr>
              <w:t>294</w:t>
            </w:r>
            <w:r w:rsidRPr="00AD54AF">
              <w:rPr>
                <w:bCs/>
                <w:lang w:val="en-US"/>
              </w:rPr>
              <w:t>[3]</w:t>
            </w:r>
          </w:p>
        </w:tc>
        <w:tc>
          <w:tcPr>
            <w:tcW w:w="1418" w:type="dxa"/>
          </w:tcPr>
          <w:p w:rsidR="00326245" w:rsidRPr="00AD54AF" w:rsidRDefault="00326245" w:rsidP="00A25191">
            <w:pPr>
              <w:ind w:left="43"/>
              <w:jc w:val="center"/>
            </w:pPr>
            <w:r w:rsidRPr="00AD54AF">
              <w:t>362</w:t>
            </w:r>
          </w:p>
        </w:tc>
        <w:tc>
          <w:tcPr>
            <w:tcW w:w="1276" w:type="dxa"/>
          </w:tcPr>
          <w:p w:rsidR="00326245" w:rsidRPr="00AD54AF" w:rsidRDefault="00326245" w:rsidP="00A25191">
            <w:pPr>
              <w:ind w:left="38"/>
              <w:jc w:val="center"/>
              <w:rPr>
                <w:lang w:val="en-US"/>
              </w:rPr>
            </w:pPr>
            <w:r w:rsidRPr="00AD54AF">
              <w:rPr>
                <w:bCs/>
              </w:rPr>
              <w:t>360</w:t>
            </w:r>
            <w:r w:rsidRPr="00AD54AF">
              <w:rPr>
                <w:bCs/>
                <w:lang w:val="en-US"/>
              </w:rPr>
              <w:t>[3]</w:t>
            </w:r>
          </w:p>
        </w:tc>
        <w:tc>
          <w:tcPr>
            <w:tcW w:w="992" w:type="dxa"/>
          </w:tcPr>
          <w:p w:rsidR="00326245" w:rsidRPr="00AD54AF" w:rsidRDefault="00326245" w:rsidP="00A25191">
            <w:pPr>
              <w:ind w:left="41"/>
              <w:jc w:val="center"/>
              <w:rPr>
                <w:bCs/>
              </w:rPr>
            </w:pPr>
            <w:r w:rsidRPr="00AD54AF">
              <w:rPr>
                <w:bCs/>
              </w:rPr>
              <w:t>44</w:t>
            </w:r>
          </w:p>
        </w:tc>
        <w:tc>
          <w:tcPr>
            <w:tcW w:w="1139" w:type="dxa"/>
          </w:tcPr>
          <w:p w:rsidR="00326245" w:rsidRPr="00AD54AF" w:rsidRDefault="00326245" w:rsidP="00A25191">
            <w:pPr>
              <w:ind w:left="29"/>
              <w:jc w:val="center"/>
              <w:rPr>
                <w:bCs/>
                <w:lang w:val="en-US"/>
              </w:rPr>
            </w:pPr>
            <w:r w:rsidRPr="00AD54AF">
              <w:rPr>
                <w:bCs/>
              </w:rPr>
              <w:t>66</w:t>
            </w:r>
            <w:r w:rsidRPr="00AD54AF">
              <w:rPr>
                <w:bCs/>
                <w:lang w:val="en-US"/>
              </w:rPr>
              <w:t>[3]</w:t>
            </w:r>
          </w:p>
        </w:tc>
      </w:tr>
      <w:tr w:rsidR="00326245" w:rsidRPr="00AD54AF" w:rsidTr="00A25191">
        <w:trPr>
          <w:jc w:val="center"/>
        </w:trPr>
        <w:tc>
          <w:tcPr>
            <w:tcW w:w="1565" w:type="dxa"/>
          </w:tcPr>
          <w:p w:rsidR="00326245" w:rsidRPr="00AD54AF" w:rsidRDefault="00326245" w:rsidP="00A25191">
            <w:pPr>
              <w:ind w:left="25"/>
              <w:jc w:val="center"/>
              <w:rPr>
                <w:bCs/>
              </w:rPr>
            </w:pPr>
            <w:r w:rsidRPr="00AD54AF">
              <w:rPr>
                <w:bCs/>
              </w:rPr>
              <w:t>Структура 2</w:t>
            </w:r>
          </w:p>
        </w:tc>
        <w:tc>
          <w:tcPr>
            <w:tcW w:w="1124" w:type="dxa"/>
          </w:tcPr>
          <w:p w:rsidR="00326245" w:rsidRPr="00AD54AF" w:rsidRDefault="00326245" w:rsidP="00A25191">
            <w:pPr>
              <w:ind w:left="28"/>
              <w:jc w:val="center"/>
              <w:rPr>
                <w:bCs/>
              </w:rPr>
            </w:pPr>
            <w:r w:rsidRPr="00AD54AF">
              <w:rPr>
                <w:bCs/>
              </w:rPr>
              <w:t>341</w:t>
            </w:r>
          </w:p>
        </w:tc>
        <w:tc>
          <w:tcPr>
            <w:tcW w:w="1275" w:type="dxa"/>
          </w:tcPr>
          <w:p w:rsidR="00326245" w:rsidRPr="00AD54AF" w:rsidRDefault="00326245" w:rsidP="00A25191">
            <w:pPr>
              <w:jc w:val="center"/>
              <w:rPr>
                <w:bCs/>
                <w:lang w:val="en-US"/>
              </w:rPr>
            </w:pPr>
            <w:r w:rsidRPr="00AD54AF">
              <w:rPr>
                <w:bCs/>
              </w:rPr>
              <w:t>317</w:t>
            </w:r>
            <w:r w:rsidRPr="00AD54AF">
              <w:rPr>
                <w:bCs/>
                <w:lang w:val="en-US"/>
              </w:rPr>
              <w:t>[1]</w:t>
            </w:r>
          </w:p>
        </w:tc>
        <w:tc>
          <w:tcPr>
            <w:tcW w:w="1418" w:type="dxa"/>
          </w:tcPr>
          <w:p w:rsidR="00326245" w:rsidRPr="00AD54AF" w:rsidRDefault="00326245" w:rsidP="00A25191">
            <w:pPr>
              <w:ind w:left="43"/>
              <w:jc w:val="center"/>
            </w:pPr>
            <w:r w:rsidRPr="00AD54AF">
              <w:t>393</w:t>
            </w:r>
          </w:p>
        </w:tc>
        <w:tc>
          <w:tcPr>
            <w:tcW w:w="1276" w:type="dxa"/>
          </w:tcPr>
          <w:p w:rsidR="00326245" w:rsidRPr="00AD54AF" w:rsidRDefault="00326245" w:rsidP="00A25191">
            <w:pPr>
              <w:ind w:left="38"/>
              <w:jc w:val="center"/>
              <w:rPr>
                <w:lang w:val="en-US"/>
              </w:rPr>
            </w:pPr>
            <w:r w:rsidRPr="00AD54AF">
              <w:rPr>
                <w:rFonts w:eastAsia="TimesNewRoman"/>
              </w:rPr>
              <w:t>376</w:t>
            </w:r>
            <w:r w:rsidRPr="00AD54AF">
              <w:rPr>
                <w:rFonts w:eastAsia="TimesNewRoman"/>
                <w:lang w:val="en-US"/>
              </w:rPr>
              <w:t>[1]</w:t>
            </w:r>
          </w:p>
        </w:tc>
        <w:tc>
          <w:tcPr>
            <w:tcW w:w="992" w:type="dxa"/>
          </w:tcPr>
          <w:p w:rsidR="00326245" w:rsidRPr="00AD54AF" w:rsidRDefault="00326245" w:rsidP="00A25191">
            <w:pPr>
              <w:ind w:left="41"/>
              <w:jc w:val="center"/>
              <w:rPr>
                <w:rFonts w:eastAsia="TimesNewRoman"/>
              </w:rPr>
            </w:pPr>
            <w:r w:rsidRPr="00AD54AF">
              <w:rPr>
                <w:rFonts w:eastAsia="TimesNewRoman"/>
              </w:rPr>
              <w:t>52</w:t>
            </w:r>
          </w:p>
        </w:tc>
        <w:tc>
          <w:tcPr>
            <w:tcW w:w="1139" w:type="dxa"/>
          </w:tcPr>
          <w:p w:rsidR="00326245" w:rsidRPr="00AD54AF" w:rsidRDefault="00326245" w:rsidP="00A25191">
            <w:pPr>
              <w:ind w:left="29"/>
              <w:jc w:val="center"/>
              <w:rPr>
                <w:rFonts w:eastAsia="TimesNewRoman"/>
                <w:lang w:val="en-US"/>
              </w:rPr>
            </w:pPr>
            <w:r w:rsidRPr="00AD54AF">
              <w:rPr>
                <w:rFonts w:eastAsia="TimesNewRoman"/>
              </w:rPr>
              <w:t>59</w:t>
            </w:r>
            <w:r w:rsidRPr="00AD54AF">
              <w:rPr>
                <w:rFonts w:eastAsia="TimesNewRoman"/>
                <w:lang w:val="en-US"/>
              </w:rPr>
              <w:t>[1]</w:t>
            </w:r>
          </w:p>
        </w:tc>
      </w:tr>
      <w:tr w:rsidR="00326245" w:rsidRPr="00AD54AF" w:rsidTr="00A25191">
        <w:trPr>
          <w:jc w:val="center"/>
        </w:trPr>
        <w:tc>
          <w:tcPr>
            <w:tcW w:w="1565" w:type="dxa"/>
          </w:tcPr>
          <w:p w:rsidR="00326245" w:rsidRPr="00AD54AF" w:rsidRDefault="00326245" w:rsidP="00A25191">
            <w:pPr>
              <w:ind w:left="25"/>
              <w:jc w:val="center"/>
              <w:rPr>
                <w:bCs/>
              </w:rPr>
            </w:pPr>
            <w:r w:rsidRPr="00AD54AF">
              <w:rPr>
                <w:bCs/>
              </w:rPr>
              <w:t>Структура 3</w:t>
            </w:r>
          </w:p>
        </w:tc>
        <w:tc>
          <w:tcPr>
            <w:tcW w:w="1124" w:type="dxa"/>
          </w:tcPr>
          <w:p w:rsidR="00326245" w:rsidRPr="00AD54AF" w:rsidRDefault="00326245" w:rsidP="00A25191">
            <w:pPr>
              <w:ind w:left="28"/>
              <w:jc w:val="center"/>
              <w:rPr>
                <w:bCs/>
                <w:lang w:val="en-US"/>
              </w:rPr>
            </w:pPr>
            <w:r w:rsidRPr="00AD54AF">
              <w:rPr>
                <w:bCs/>
                <w:lang w:val="en-US"/>
              </w:rPr>
              <w:t>344</w:t>
            </w:r>
          </w:p>
        </w:tc>
        <w:tc>
          <w:tcPr>
            <w:tcW w:w="1275" w:type="dxa"/>
          </w:tcPr>
          <w:p w:rsidR="00326245" w:rsidRPr="00AD54AF" w:rsidRDefault="00326245" w:rsidP="00A25191">
            <w:pPr>
              <w:jc w:val="center"/>
              <w:rPr>
                <w:bCs/>
                <w:lang w:val="en-US"/>
              </w:rPr>
            </w:pPr>
            <w:r w:rsidRPr="00AD54AF">
              <w:rPr>
                <w:bCs/>
              </w:rPr>
              <w:t>318</w:t>
            </w:r>
            <w:r w:rsidRPr="00AD54AF">
              <w:rPr>
                <w:bCs/>
                <w:lang w:val="en-US"/>
              </w:rPr>
              <w:t>[1]</w:t>
            </w:r>
          </w:p>
        </w:tc>
        <w:tc>
          <w:tcPr>
            <w:tcW w:w="1418" w:type="dxa"/>
          </w:tcPr>
          <w:p w:rsidR="00326245" w:rsidRPr="005A3387" w:rsidRDefault="00326245" w:rsidP="00A25191">
            <w:pPr>
              <w:ind w:left="43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276" w:type="dxa"/>
          </w:tcPr>
          <w:p w:rsidR="00326245" w:rsidRPr="00AD54AF" w:rsidRDefault="00326245" w:rsidP="00A25191">
            <w:pPr>
              <w:ind w:left="38"/>
              <w:jc w:val="center"/>
              <w:rPr>
                <w:lang w:val="en-US"/>
              </w:rPr>
            </w:pPr>
            <w:r w:rsidRPr="00AD54AF">
              <w:rPr>
                <w:rFonts w:eastAsia="TimesNewRoman"/>
              </w:rPr>
              <w:t>382</w:t>
            </w:r>
            <w:r w:rsidRPr="00AD54AF">
              <w:rPr>
                <w:rFonts w:eastAsia="TimesNewRoman"/>
                <w:lang w:val="en-US"/>
              </w:rPr>
              <w:t>[1]</w:t>
            </w:r>
          </w:p>
        </w:tc>
        <w:tc>
          <w:tcPr>
            <w:tcW w:w="992" w:type="dxa"/>
          </w:tcPr>
          <w:p w:rsidR="00326245" w:rsidRPr="005A3387" w:rsidRDefault="00326245" w:rsidP="00A25191">
            <w:pPr>
              <w:ind w:left="41"/>
              <w:jc w:val="center"/>
              <w:rPr>
                <w:rFonts w:eastAsia="TimesNewRoman"/>
                <w:lang w:val="en-US"/>
              </w:rPr>
            </w:pPr>
            <w:r>
              <w:rPr>
                <w:rFonts w:eastAsia="TimesNewRoman"/>
                <w:lang w:val="en-US"/>
              </w:rPr>
              <w:t>56</w:t>
            </w:r>
          </w:p>
        </w:tc>
        <w:tc>
          <w:tcPr>
            <w:tcW w:w="1139" w:type="dxa"/>
          </w:tcPr>
          <w:p w:rsidR="00326245" w:rsidRPr="00AD54AF" w:rsidRDefault="00326245" w:rsidP="00A25191">
            <w:pPr>
              <w:ind w:left="29"/>
              <w:jc w:val="center"/>
              <w:rPr>
                <w:rFonts w:eastAsia="TimesNewRoman"/>
                <w:lang w:val="en-US"/>
              </w:rPr>
            </w:pPr>
            <w:r w:rsidRPr="00AD54AF">
              <w:rPr>
                <w:rFonts w:eastAsia="TimesNewRoman"/>
              </w:rPr>
              <w:t>64</w:t>
            </w:r>
            <w:r w:rsidRPr="00AD54AF">
              <w:rPr>
                <w:rFonts w:eastAsia="TimesNewRoman"/>
                <w:lang w:val="en-US"/>
              </w:rPr>
              <w:t>[1]</w:t>
            </w:r>
          </w:p>
        </w:tc>
      </w:tr>
      <w:tr w:rsidR="00326245" w:rsidRPr="00AD54AF" w:rsidTr="00A25191">
        <w:trPr>
          <w:jc w:val="center"/>
        </w:trPr>
        <w:tc>
          <w:tcPr>
            <w:tcW w:w="1565" w:type="dxa"/>
          </w:tcPr>
          <w:p w:rsidR="00326245" w:rsidRPr="00AD54AF" w:rsidRDefault="00326245" w:rsidP="00A25191">
            <w:pPr>
              <w:ind w:left="25"/>
              <w:jc w:val="center"/>
              <w:rPr>
                <w:bCs/>
              </w:rPr>
            </w:pPr>
            <w:r w:rsidRPr="00AD54AF">
              <w:rPr>
                <w:bCs/>
              </w:rPr>
              <w:t>Структура 4</w:t>
            </w:r>
          </w:p>
        </w:tc>
        <w:tc>
          <w:tcPr>
            <w:tcW w:w="1124" w:type="dxa"/>
          </w:tcPr>
          <w:p w:rsidR="00326245" w:rsidRPr="00AD54AF" w:rsidRDefault="00326245" w:rsidP="00A25191">
            <w:pPr>
              <w:ind w:left="28"/>
              <w:jc w:val="center"/>
              <w:rPr>
                <w:bCs/>
                <w:lang w:val="en-US"/>
              </w:rPr>
            </w:pPr>
            <w:r w:rsidRPr="00AD54AF">
              <w:t>3</w:t>
            </w:r>
            <w:r>
              <w:rPr>
                <w:lang w:val="en-US"/>
              </w:rPr>
              <w:t>68</w:t>
            </w:r>
          </w:p>
        </w:tc>
        <w:tc>
          <w:tcPr>
            <w:tcW w:w="1275" w:type="dxa"/>
          </w:tcPr>
          <w:p w:rsidR="00326245" w:rsidRPr="00AD54AF" w:rsidRDefault="00326245" w:rsidP="00A25191">
            <w:pPr>
              <w:jc w:val="center"/>
              <w:rPr>
                <w:bCs/>
                <w:lang w:val="en-US"/>
              </w:rPr>
            </w:pPr>
            <w:r w:rsidRPr="00AD54AF">
              <w:rPr>
                <w:rFonts w:eastAsia="TimesNewRoman"/>
                <w:lang w:val="en-US"/>
              </w:rPr>
              <w:t>32</w:t>
            </w:r>
            <w:r w:rsidRPr="00AD54AF">
              <w:rPr>
                <w:rFonts w:eastAsia="TimesNewRoman"/>
              </w:rPr>
              <w:t>9</w:t>
            </w:r>
            <w:r w:rsidRPr="00AD54AF">
              <w:rPr>
                <w:rFonts w:eastAsia="TimesNewRoman"/>
                <w:lang w:val="en-US"/>
              </w:rPr>
              <w:t>[2]</w:t>
            </w:r>
          </w:p>
        </w:tc>
        <w:tc>
          <w:tcPr>
            <w:tcW w:w="1418" w:type="dxa"/>
          </w:tcPr>
          <w:p w:rsidR="00326245" w:rsidRPr="00AD54AF" w:rsidRDefault="00326245" w:rsidP="00A25191">
            <w:pPr>
              <w:ind w:left="43"/>
              <w:jc w:val="center"/>
            </w:pPr>
            <w:r w:rsidRPr="00AD54AF">
              <w:rPr>
                <w:bCs/>
              </w:rPr>
              <w:t>436</w:t>
            </w:r>
          </w:p>
        </w:tc>
        <w:tc>
          <w:tcPr>
            <w:tcW w:w="1276" w:type="dxa"/>
          </w:tcPr>
          <w:p w:rsidR="00326245" w:rsidRPr="00AD54AF" w:rsidRDefault="00326245" w:rsidP="00A25191">
            <w:pPr>
              <w:ind w:left="38"/>
              <w:jc w:val="center"/>
            </w:pPr>
            <w:r w:rsidRPr="00AD54AF">
              <w:rPr>
                <w:rFonts w:eastAsia="TimesNewRoman"/>
                <w:lang w:val="en-US"/>
              </w:rPr>
              <w:t>411[2]</w:t>
            </w:r>
          </w:p>
        </w:tc>
        <w:tc>
          <w:tcPr>
            <w:tcW w:w="992" w:type="dxa"/>
          </w:tcPr>
          <w:p w:rsidR="00326245" w:rsidRPr="00AD54AF" w:rsidRDefault="00326245" w:rsidP="00A25191">
            <w:pPr>
              <w:ind w:left="41"/>
              <w:jc w:val="center"/>
              <w:rPr>
                <w:rFonts w:eastAsia="TimesNewRoman"/>
              </w:rPr>
            </w:pPr>
            <w:r>
              <w:rPr>
                <w:rFonts w:eastAsia="TimesNewRoman"/>
                <w:lang w:val="en-US"/>
              </w:rPr>
              <w:t>68</w:t>
            </w:r>
          </w:p>
        </w:tc>
        <w:tc>
          <w:tcPr>
            <w:tcW w:w="1139" w:type="dxa"/>
          </w:tcPr>
          <w:p w:rsidR="00326245" w:rsidRPr="00AD54AF" w:rsidRDefault="00326245" w:rsidP="00A25191">
            <w:pPr>
              <w:ind w:left="29"/>
              <w:jc w:val="center"/>
              <w:rPr>
                <w:rFonts w:eastAsia="TimesNewRoman"/>
                <w:lang w:val="en-US"/>
              </w:rPr>
            </w:pPr>
            <w:r w:rsidRPr="00AD54AF">
              <w:rPr>
                <w:rFonts w:eastAsia="TimesNewRoman"/>
                <w:lang w:val="en-US"/>
              </w:rPr>
              <w:t>82[2]</w:t>
            </w:r>
          </w:p>
        </w:tc>
      </w:tr>
    </w:tbl>
    <w:p w:rsidR="00326245" w:rsidRPr="005F29F9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Спектральные характеристики, приведенные в таблице, свидетельствуют о том, </w:t>
      </w:r>
      <w:r w:rsidRPr="0045144D">
        <w:t xml:space="preserve">что </w:t>
      </w:r>
      <w:r>
        <w:t>увеличение донорной способности</w:t>
      </w:r>
      <w:r w:rsidRPr="0045144D">
        <w:t xml:space="preserve"> заместителей </w:t>
      </w:r>
      <w:r>
        <w:rPr>
          <w:lang w:val="en-US"/>
        </w:rPr>
        <w:t>R</w:t>
      </w:r>
      <w:r>
        <w:t>: -Н, -</w:t>
      </w:r>
      <w:r>
        <w:rPr>
          <w:lang w:val="en-US"/>
        </w:rPr>
        <w:t>OCH</w:t>
      </w:r>
      <w:r w:rsidRPr="000E2701">
        <w:rPr>
          <w:vertAlign w:val="subscript"/>
        </w:rPr>
        <w:t>3</w:t>
      </w:r>
      <w:r>
        <w:rPr>
          <w:vertAlign w:val="subscript"/>
        </w:rPr>
        <w:t xml:space="preserve">, </w:t>
      </w:r>
      <w:r>
        <w:t>-</w:t>
      </w:r>
      <w:r>
        <w:rPr>
          <w:lang w:val="en-US"/>
        </w:rPr>
        <w:t>O</w:t>
      </w:r>
      <w:r>
        <w:t>-</w:t>
      </w:r>
      <w:r>
        <w:rPr>
          <w:lang w:val="en-US"/>
        </w:rPr>
        <w:t>CH</w:t>
      </w:r>
      <w:r w:rsidRPr="000E2701">
        <w:rPr>
          <w:vertAlign w:val="subscript"/>
        </w:rPr>
        <w:t>2</w:t>
      </w:r>
      <w:r>
        <w:t>-С</w:t>
      </w:r>
      <w:r w:rsidRPr="00D8284B"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3</w:t>
      </w:r>
      <w:r w:rsidRPr="00D8284B">
        <w:t>(</w:t>
      </w:r>
      <w:r>
        <w:rPr>
          <w:lang w:val="en-US"/>
        </w:rPr>
        <w:t>OCH</w:t>
      </w:r>
      <w:r w:rsidRPr="000E2701">
        <w:rPr>
          <w:vertAlign w:val="subscript"/>
        </w:rPr>
        <w:t>3</w:t>
      </w:r>
      <w:r w:rsidRPr="00D8284B">
        <w:t>)</w:t>
      </w:r>
      <w:r w:rsidRPr="000E2701">
        <w:rPr>
          <w:vertAlign w:val="subscript"/>
        </w:rPr>
        <w:t>2</w:t>
      </w:r>
      <w:r>
        <w:t>, -(</w:t>
      </w:r>
      <w:r>
        <w:rPr>
          <w:lang w:val="en-US"/>
        </w:rPr>
        <w:t>OCH</w:t>
      </w:r>
      <w:r w:rsidRPr="000E2701">
        <w:rPr>
          <w:vertAlign w:val="subscript"/>
        </w:rPr>
        <w:t>3</w:t>
      </w:r>
      <w:r w:rsidRPr="00D8284B">
        <w:t>)</w:t>
      </w:r>
      <w:r w:rsidRPr="000E2701">
        <w:rPr>
          <w:vertAlign w:val="subscript"/>
        </w:rPr>
        <w:t>2</w:t>
      </w:r>
      <w:r w:rsidRPr="00D8284B">
        <w:t xml:space="preserve"> </w:t>
      </w:r>
      <w:r>
        <w:t>оказывает</w:t>
      </w:r>
      <w:r w:rsidRPr="0045144D">
        <w:t xml:space="preserve"> </w:t>
      </w:r>
      <w:r w:rsidRPr="00543B2C">
        <w:t>вли</w:t>
      </w:r>
      <w:r>
        <w:t>яние на положение полос, как в спектрах</w:t>
      </w:r>
      <w:r w:rsidRPr="00543B2C">
        <w:t xml:space="preserve"> поглощения</w:t>
      </w:r>
      <w:r>
        <w:t>,</w:t>
      </w:r>
      <w:r w:rsidRPr="00543B2C">
        <w:t xml:space="preserve"> </w:t>
      </w:r>
      <w:r>
        <w:t>так и в спектрах испускания</w:t>
      </w:r>
      <w:r w:rsidRPr="0045144D">
        <w:t>, смещая их в длинноволновую область</w:t>
      </w:r>
      <w:r>
        <w:t xml:space="preserve">. Результаты расчетов </w:t>
      </w:r>
      <w:r>
        <w:rPr>
          <w:bCs/>
          <w:color w:val="000000"/>
          <w:shd w:val="clear" w:color="auto" w:fill="FFFFFF"/>
        </w:rPr>
        <w:t>коррелируют с экспериментальными данными (табл.), полученными в растворителе (</w:t>
      </w:r>
      <w:r>
        <w:rPr>
          <w:bCs/>
          <w:color w:val="000000"/>
          <w:shd w:val="clear" w:color="auto" w:fill="FFFFFF"/>
          <w:lang w:val="en-US"/>
        </w:rPr>
        <w:t>CHCl</w:t>
      </w:r>
      <w:r w:rsidRPr="00AD54AF">
        <w:rPr>
          <w:bCs/>
          <w:color w:val="000000"/>
          <w:shd w:val="clear" w:color="auto" w:fill="FFFFFF"/>
          <w:vertAlign w:val="subscript"/>
        </w:rPr>
        <w:t>3</w:t>
      </w:r>
      <w:r>
        <w:rPr>
          <w:bCs/>
          <w:color w:val="000000"/>
          <w:shd w:val="clear" w:color="auto" w:fill="FFFFFF"/>
        </w:rPr>
        <w:t>)</w:t>
      </w:r>
      <w:r w:rsidRPr="0045144D">
        <w:t>.</w:t>
      </w:r>
    </w:p>
    <w:p w:rsidR="00326245" w:rsidRPr="00597CB3" w:rsidRDefault="00326245" w:rsidP="00326245">
      <w:pPr>
        <w:jc w:val="right"/>
        <w:rPr>
          <w:i/>
        </w:rPr>
      </w:pPr>
      <w:r w:rsidRPr="00AC6F8B">
        <w:rPr>
          <w:i/>
        </w:rPr>
        <w:t xml:space="preserve">Работа выполнена при поддержке </w:t>
      </w:r>
      <w:proofErr w:type="spellStart"/>
      <w:r w:rsidRPr="00AC6F8B">
        <w:rPr>
          <w:i/>
        </w:rPr>
        <w:t>Минобрнауки</w:t>
      </w:r>
      <w:proofErr w:type="spellEnd"/>
      <w:r w:rsidRPr="00AC6F8B">
        <w:rPr>
          <w:i/>
        </w:rPr>
        <w:t xml:space="preserve"> </w:t>
      </w:r>
      <w:r>
        <w:rPr>
          <w:i/>
        </w:rPr>
        <w:t>(</w:t>
      </w:r>
      <w:r w:rsidRPr="00597CB3">
        <w:rPr>
          <w:i/>
          <w:iCs/>
        </w:rPr>
        <w:t>FZZM-2026-0004</w:t>
      </w:r>
      <w:r>
        <w:rPr>
          <w:i/>
        </w:rPr>
        <w:t>)</w:t>
      </w:r>
    </w:p>
    <w:p w:rsidR="00326245" w:rsidRPr="008C4094" w:rsidRDefault="00326245" w:rsidP="00326245">
      <w:pPr>
        <w:shd w:val="clear" w:color="auto" w:fill="FFFFFF"/>
        <w:jc w:val="right"/>
        <w:rPr>
          <w:i/>
          <w:iCs/>
          <w:color w:val="000000"/>
        </w:rPr>
      </w:pPr>
      <w:r w:rsidRPr="00446138">
        <w:rPr>
          <w:i/>
          <w:iCs/>
          <w:color w:val="000000"/>
        </w:rPr>
        <w:t xml:space="preserve">Работа выполнена под руководством: к.х.н. </w:t>
      </w:r>
      <w:proofErr w:type="spellStart"/>
      <w:r w:rsidRPr="00446138">
        <w:rPr>
          <w:i/>
          <w:iCs/>
          <w:color w:val="000000"/>
        </w:rPr>
        <w:t>Лапыкиной</w:t>
      </w:r>
      <w:proofErr w:type="spellEnd"/>
      <w:r w:rsidRPr="00446138">
        <w:rPr>
          <w:i/>
          <w:iCs/>
          <w:color w:val="000000"/>
        </w:rPr>
        <w:t xml:space="preserve"> Е.А.</w:t>
      </w:r>
    </w:p>
    <w:p w:rsidR="00326245" w:rsidRPr="0028039C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26245" w:rsidRPr="0078207B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lang w:val="en-US"/>
        </w:rPr>
      </w:pPr>
      <w:proofErr w:type="gramStart"/>
      <w:r w:rsidRPr="00422758">
        <w:rPr>
          <w:color w:val="000000"/>
          <w:lang w:val="en-US"/>
        </w:rPr>
        <w:t>1</w:t>
      </w:r>
      <w:r w:rsidRPr="0078207B">
        <w:rPr>
          <w:color w:val="000000"/>
          <w:lang w:val="en-US"/>
        </w:rPr>
        <w:t>.Cristiano</w:t>
      </w:r>
      <w:proofErr w:type="gramEnd"/>
      <w:r w:rsidRPr="0078207B">
        <w:rPr>
          <w:color w:val="000000"/>
          <w:lang w:val="en-US"/>
        </w:rPr>
        <w:t xml:space="preserve"> R., Gallardo H. Synthesis and characterization of low molecular mass luminescent liquid c</w:t>
      </w:r>
      <w:r>
        <w:rPr>
          <w:color w:val="000000"/>
          <w:lang w:val="en-US"/>
        </w:rPr>
        <w:t>rystalline materials with 1,3,4</w:t>
      </w:r>
      <w:r w:rsidRPr="0078207B">
        <w:rPr>
          <w:color w:val="000000"/>
          <w:lang w:val="en-US"/>
        </w:rPr>
        <w:t>o</w:t>
      </w:r>
      <w:r>
        <w:rPr>
          <w:color w:val="000000"/>
          <w:lang w:val="en-US"/>
        </w:rPr>
        <w:t>xadiazole //</w:t>
      </w:r>
      <w:r w:rsidRPr="0078207B">
        <w:rPr>
          <w:color w:val="000000"/>
          <w:lang w:val="en-US"/>
        </w:rPr>
        <w:t>Liquid Crysta</w:t>
      </w:r>
      <w:r>
        <w:rPr>
          <w:color w:val="000000"/>
          <w:lang w:val="en-US"/>
        </w:rPr>
        <w:t>ls. 2005</w:t>
      </w:r>
      <w:proofErr w:type="gramStart"/>
      <w:r>
        <w:rPr>
          <w:color w:val="000000"/>
          <w:lang w:val="en-US"/>
        </w:rPr>
        <w:t>.Vol.32</w:t>
      </w:r>
      <w:proofErr w:type="gramEnd"/>
      <w:r>
        <w:rPr>
          <w:color w:val="000000"/>
          <w:lang w:val="en-US"/>
        </w:rPr>
        <w:t>,</w:t>
      </w:r>
      <w:r w:rsidRPr="00446D6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No.1.P.7–14</w:t>
      </w:r>
      <w:r>
        <w:rPr>
          <w:lang w:val="en-US"/>
        </w:rPr>
        <w:t xml:space="preserve">. </w:t>
      </w:r>
    </w:p>
    <w:p w:rsidR="00326245" w:rsidRDefault="00326245" w:rsidP="00326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lang w:val="en-US"/>
        </w:rPr>
      </w:pPr>
      <w:r w:rsidRPr="00422758">
        <w:rPr>
          <w:color w:val="000000"/>
          <w:lang w:val="en-US"/>
        </w:rPr>
        <w:t>2.</w:t>
      </w:r>
      <w:r w:rsidRPr="0078207B">
        <w:rPr>
          <w:lang w:val="en-US"/>
        </w:rPr>
        <w:t xml:space="preserve"> </w:t>
      </w:r>
      <w:proofErr w:type="spellStart"/>
      <w:r w:rsidRPr="0078207B">
        <w:rPr>
          <w:lang w:val="en-US"/>
        </w:rPr>
        <w:t>Girotto</w:t>
      </w:r>
      <w:proofErr w:type="spellEnd"/>
      <w:r w:rsidRPr="0078207B">
        <w:rPr>
          <w:lang w:val="en-US"/>
        </w:rPr>
        <w:t xml:space="preserve"> E., </w:t>
      </w:r>
      <w:proofErr w:type="spellStart"/>
      <w:r w:rsidRPr="0078207B">
        <w:rPr>
          <w:lang w:val="en-US"/>
        </w:rPr>
        <w:t>Eccher</w:t>
      </w:r>
      <w:proofErr w:type="spellEnd"/>
      <w:r w:rsidRPr="0078207B">
        <w:rPr>
          <w:lang w:val="en-US"/>
        </w:rPr>
        <w:t xml:space="preserve"> J., Vieira A. A., </w:t>
      </w:r>
      <w:proofErr w:type="spellStart"/>
      <w:r w:rsidRPr="0078207B">
        <w:rPr>
          <w:lang w:val="en-US"/>
        </w:rPr>
        <w:t>Bechtold</w:t>
      </w:r>
      <w:proofErr w:type="spellEnd"/>
      <w:r w:rsidRPr="0078207B">
        <w:rPr>
          <w:lang w:val="en-US"/>
        </w:rPr>
        <w:t xml:space="preserve"> I. H., Gallardo H. Luminescent columnar liquid crystals based on 1,3,4-oxadiazole // Tetrahed</w:t>
      </w:r>
      <w:r>
        <w:rPr>
          <w:lang w:val="en-US"/>
        </w:rPr>
        <w:t>ron. 2014</w:t>
      </w:r>
      <w:proofErr w:type="gramStart"/>
      <w:r>
        <w:rPr>
          <w:lang w:val="en-US"/>
        </w:rPr>
        <w:t>.</w:t>
      </w:r>
      <w:r w:rsidRPr="0078207B">
        <w:rPr>
          <w:lang w:val="en-US"/>
        </w:rPr>
        <w:t>Vo</w:t>
      </w:r>
      <w:r>
        <w:rPr>
          <w:lang w:val="en-US"/>
        </w:rPr>
        <w:t>l.70</w:t>
      </w:r>
      <w:proofErr w:type="gramEnd"/>
      <w:r>
        <w:rPr>
          <w:lang w:val="en-US"/>
        </w:rPr>
        <w:t>. No. 20. P. 3355–3360.</w:t>
      </w:r>
    </w:p>
    <w:p w:rsidR="00544612" w:rsidRDefault="00326245" w:rsidP="00326245">
      <w:r w:rsidRPr="00422758">
        <w:rPr>
          <w:color w:val="000000"/>
          <w:lang w:val="en-US"/>
        </w:rPr>
        <w:t>3.</w:t>
      </w:r>
      <w:r w:rsidRPr="00422758">
        <w:rPr>
          <w:lang w:val="en-US"/>
        </w:rPr>
        <w:t xml:space="preserve"> </w:t>
      </w:r>
      <w:r>
        <w:rPr>
          <w:lang w:val="en-US"/>
        </w:rPr>
        <w:t xml:space="preserve">Yang Ch. Excited State Luminescence </w:t>
      </w:r>
      <w:r w:rsidRPr="0078207B">
        <w:rPr>
          <w:lang w:val="en-US"/>
        </w:rPr>
        <w:t>of Mult</w:t>
      </w:r>
      <w:r>
        <w:rPr>
          <w:lang w:val="en-US"/>
        </w:rPr>
        <w:t>i-(5-phenyl-1</w:t>
      </w:r>
      <w:proofErr w:type="gramStart"/>
      <w:r>
        <w:rPr>
          <w:lang w:val="en-US"/>
        </w:rPr>
        <w:t>,3,4</w:t>
      </w:r>
      <w:proofErr w:type="gramEnd"/>
      <w:r>
        <w:rPr>
          <w:lang w:val="en-US"/>
        </w:rPr>
        <w:t>-oxadiazo-2-yl</w:t>
      </w:r>
      <w:r w:rsidRPr="00E54074">
        <w:rPr>
          <w:lang w:val="en-US"/>
        </w:rPr>
        <w:t>)</w:t>
      </w:r>
      <w:r>
        <w:rPr>
          <w:lang w:val="en-US"/>
        </w:rPr>
        <w:t>benzenes in</w:t>
      </w:r>
      <w:r w:rsidRPr="0078207B">
        <w:rPr>
          <w:lang w:val="en-US"/>
        </w:rPr>
        <w:t xml:space="preserve"> Electron-Donating Matrix: </w:t>
      </w:r>
      <w:proofErr w:type="spellStart"/>
      <w:r w:rsidRPr="0078207B">
        <w:rPr>
          <w:lang w:val="en-US"/>
        </w:rPr>
        <w:t>Exciplex</w:t>
      </w:r>
      <w:proofErr w:type="spellEnd"/>
      <w:r w:rsidRPr="0078207B">
        <w:rPr>
          <w:lang w:val="en-US"/>
        </w:rPr>
        <w:t xml:space="preserve"> or </w:t>
      </w:r>
      <w:proofErr w:type="spellStart"/>
      <w:r w:rsidRPr="0078207B">
        <w:rPr>
          <w:lang w:val="en-US"/>
        </w:rPr>
        <w:t>Electroplex</w:t>
      </w:r>
      <w:proofErr w:type="spellEnd"/>
      <w:r>
        <w:rPr>
          <w:lang w:val="en-US"/>
        </w:rPr>
        <w:t>?//</w:t>
      </w:r>
      <w:r w:rsidRPr="00E54074">
        <w:rPr>
          <w:lang w:val="en-US"/>
        </w:rPr>
        <w:t xml:space="preserve"> </w:t>
      </w:r>
      <w:r>
        <w:rPr>
          <w:lang w:val="en-US"/>
        </w:rPr>
        <w:t>J</w:t>
      </w:r>
      <w:r w:rsidRPr="00F87435">
        <w:t>.</w:t>
      </w:r>
      <w:r>
        <w:rPr>
          <w:lang w:val="en-US"/>
        </w:rPr>
        <w:t>Phys</w:t>
      </w:r>
      <w:r w:rsidRPr="00F87435">
        <w:t>.</w:t>
      </w:r>
      <w:r>
        <w:rPr>
          <w:lang w:val="en-US"/>
        </w:rPr>
        <w:t>Chem</w:t>
      </w:r>
      <w:r w:rsidRPr="00F87435">
        <w:t>. 2010.</w:t>
      </w:r>
      <w:r>
        <w:rPr>
          <w:lang w:val="en-US"/>
        </w:rPr>
        <w:t>Vol</w:t>
      </w:r>
      <w:r w:rsidRPr="00F87435">
        <w:t xml:space="preserve">.114. </w:t>
      </w:r>
      <w:r>
        <w:rPr>
          <w:lang w:val="en-US"/>
        </w:rPr>
        <w:t>P</w:t>
      </w:r>
      <w:r w:rsidRPr="00F87435">
        <w:t>.756–768.</w:t>
      </w:r>
    </w:p>
    <w:sectPr w:rsidR="00544612" w:rsidSect="00326245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45"/>
    <w:rsid w:val="00326245"/>
    <w:rsid w:val="0054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7384FE-4EFD-467A-AD0C-87DE36DD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624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624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onovalovaaale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dcterms:created xsi:type="dcterms:W3CDTF">2026-04-30T12:47:00Z</dcterms:created>
  <dcterms:modified xsi:type="dcterms:W3CDTF">2026-04-30T12:49:00Z</dcterms:modified>
</cp:coreProperties>
</file>