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after="0" w:lineRule="auto" w:line="240"/>
        <w:ind w:right="720" w:firstLine="425"/>
        <w:jc w:val="center"/>
        <w:rPr>
          <w:rFonts w:ascii="Times New Roman" w:cs="Times New Roman" w:eastAsia="Times New Roman" w:hAnsi="Times New Roman"/>
          <w:b/>
          <w:bCs/>
        </w:rPr>
      </w:pPr>
      <w:r>
        <w:rPr>
          <w:rFonts w:ascii="Times New Roman" w:cs="Times New Roman" w:eastAsia="Times New Roman" w:hAnsi="Times New Roman"/>
          <w:b/>
          <w:bCs/>
        </w:rPr>
        <w:t>Темплатный</w:t>
      </w:r>
      <w:r>
        <w:rPr>
          <w:rFonts w:ascii="Times New Roman" w:cs="Times New Roman" w:eastAsia="Times New Roman" w:hAnsi="Times New Roman"/>
          <w:b/>
          <w:bCs/>
        </w:rPr>
        <w:t xml:space="preserve"> синтез катализаторов на основе оксидов церия и меди</w:t>
      </w:r>
    </w:p>
    <w:p>
      <w:pPr>
        <w:pStyle w:val="style0"/>
        <w:spacing w:after="0" w:lineRule="auto" w:line="240"/>
        <w:ind w:right="720" w:firstLine="425"/>
        <w:jc w:val="center"/>
        <w:rPr>
          <w:rFonts w:ascii="Times New Roman" w:cs="Times New Roman" w:eastAsia="Times New Roman" w:hAnsi="Times New Roman"/>
          <w:b/>
          <w:bCs/>
        </w:rPr>
      </w:pPr>
      <w:r>
        <w:rPr>
          <w:rFonts w:ascii="Times New Roman" w:cs="Times New Roman" w:eastAsia="Times New Roman" w:hAnsi="Times New Roman"/>
          <w:b/>
          <w:bCs/>
        </w:rPr>
        <w:t xml:space="preserve"> для гидрирования углекислого газа в метанол</w:t>
      </w:r>
    </w:p>
    <w:p>
      <w:pPr>
        <w:pStyle w:val="style0"/>
        <w:spacing w:after="0" w:lineRule="auto" w:line="240"/>
        <w:ind w:right="270" w:firstLine="425"/>
        <w:jc w:val="center"/>
        <w:rPr>
          <w:rFonts w:ascii="Times New Roman" w:cs="Times New Roman" w:eastAsia="Times New Roman" w:hAnsi="Times New Roman"/>
          <w:b/>
          <w:bCs/>
          <w:i/>
          <w:iCs/>
        </w:rPr>
      </w:pPr>
      <w:r>
        <w:rPr>
          <w:rFonts w:ascii="Times New Roman" w:cs="Times New Roman" w:eastAsia="Times New Roman" w:hAnsi="Times New Roman"/>
          <w:b/>
          <w:bCs/>
          <w:i/>
          <w:iCs/>
        </w:rPr>
        <w:t>Кабардиади</w:t>
      </w:r>
      <w:r>
        <w:rPr>
          <w:rFonts w:ascii="Times New Roman" w:cs="Times New Roman" w:eastAsia="Times New Roman" w:hAnsi="Times New Roman"/>
          <w:b/>
          <w:bCs/>
          <w:i/>
          <w:iCs/>
        </w:rPr>
        <w:t xml:space="preserve"> А.А., Васюта Е.А., Фёдорова </w:t>
      </w:r>
      <w:r>
        <w:rPr>
          <w:rFonts w:ascii="Times New Roman" w:cs="Times New Roman" w:eastAsia="Times New Roman" w:hAnsi="Times New Roman"/>
          <w:b/>
          <w:bCs/>
          <w:i/>
          <w:iCs/>
        </w:rPr>
        <w:t>А.А.</w:t>
      </w:r>
      <w:r>
        <w:rPr>
          <w:rFonts w:ascii="Times New Roman" w:cs="Times New Roman" w:eastAsia="Times New Roman" w:hAnsi="Times New Roman"/>
          <w:b/>
          <w:bCs/>
          <w:i/>
          <w:iCs/>
        </w:rPr>
        <w:t>, Кустов А.Л.</w:t>
      </w:r>
    </w:p>
    <w:p>
      <w:pPr>
        <w:pStyle w:val="style0"/>
        <w:spacing w:after="0" w:lineRule="auto" w:line="240"/>
        <w:ind w:right="270" w:firstLine="425"/>
        <w:jc w:val="center"/>
        <w:rPr>
          <w:rFonts w:ascii="Times New Roman" w:cs="Times New Roman" w:eastAsia="Times New Roman" w:hAnsi="Times New Roman"/>
          <w:i/>
          <w:iCs/>
        </w:rPr>
      </w:pPr>
      <w:r>
        <w:rPr>
          <w:rFonts w:ascii="Times New Roman" w:cs="Times New Roman" w:eastAsia="Times New Roman" w:hAnsi="Times New Roman"/>
          <w:i/>
          <w:iCs/>
        </w:rPr>
        <w:t>Студент 1 курса специалитета</w:t>
      </w:r>
    </w:p>
    <w:p>
      <w:pPr>
        <w:pStyle w:val="style0"/>
        <w:spacing w:after="0" w:lineRule="auto" w:line="240"/>
        <w:ind w:right="270" w:firstLine="425"/>
        <w:jc w:val="center"/>
        <w:rPr>
          <w:rFonts w:ascii="Times New Roman" w:cs="Times New Roman" w:eastAsia="Times New Roman" w:hAnsi="Times New Roman"/>
          <w:i/>
          <w:iCs/>
        </w:rPr>
      </w:pPr>
      <w:r>
        <w:rPr>
          <w:rFonts w:ascii="Times New Roman" w:cs="Times New Roman" w:eastAsia="Times New Roman" w:hAnsi="Times New Roman"/>
          <w:i/>
          <w:iCs/>
        </w:rPr>
        <w:t xml:space="preserve">МГУ имени </w:t>
      </w:r>
      <w:r>
        <w:rPr>
          <w:rFonts w:ascii="Times New Roman" w:cs="Times New Roman" w:eastAsia="Times New Roman" w:hAnsi="Times New Roman"/>
          <w:i/>
          <w:iCs/>
        </w:rPr>
        <w:t>М.В.</w:t>
      </w:r>
      <w:r>
        <w:rPr>
          <w:rFonts w:ascii="Times New Roman" w:cs="Times New Roman" w:eastAsia="Times New Roman" w:hAnsi="Times New Roman"/>
          <w:i/>
          <w:iCs/>
        </w:rPr>
        <w:t xml:space="preserve"> Ломоносова, химический факультет, Москва, Россия</w:t>
      </w:r>
    </w:p>
    <w:p>
      <w:pPr>
        <w:pStyle w:val="style0"/>
        <w:spacing w:after="0" w:lineRule="auto" w:line="240"/>
        <w:ind w:right="270" w:firstLine="425"/>
        <w:jc w:val="center"/>
        <w:rPr>
          <w:rFonts w:ascii="Times New Roman" w:cs="Times New Roman" w:eastAsia="Times New Roman" w:hAnsi="Times New Roman"/>
          <w:i/>
          <w:iCs/>
        </w:rPr>
      </w:pPr>
      <w:r>
        <w:rPr>
          <w:rFonts w:ascii="Times New Roman" w:cs="Times New Roman" w:eastAsia="Times New Roman" w:hAnsi="Times New Roman"/>
          <w:i/>
          <w:iCs/>
        </w:rPr>
        <w:t xml:space="preserve">E-mail: </w:t>
      </w:r>
      <w:r>
        <w:rPr>
          <w:rFonts w:ascii="Times New Roman" w:cs="Times New Roman" w:eastAsia="Times New Roman" w:hAnsi="Times New Roman"/>
          <w:i/>
          <w:iCs/>
          <w:u w:val="single"/>
        </w:rPr>
        <w:t>uglybosmer53goda@gmail.com</w:t>
      </w:r>
    </w:p>
    <w:p>
      <w:pPr>
        <w:pStyle w:val="style0"/>
        <w:spacing w:after="0" w:lineRule="auto" w:line="240"/>
        <w:ind w:right="270" w:firstLine="425"/>
        <w:jc w:val="both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 xml:space="preserve"> В данной работе рассматриваются катализаторы на основе оксидов церия и меди для реакции</w:t>
      </w:r>
      <w:r>
        <w:rPr>
          <w:rFonts w:ascii="Times New Roman" w:cs="Times New Roman" w:eastAsia="Times New Roman" w:hAnsi="Times New Roman"/>
          <w:lang w:val="en-US"/>
        </w:rPr>
        <w:t xml:space="preserve"> гидрирования углекислого газа в метанол</w:t>
      </w:r>
      <w:r>
        <w:rPr>
          <w:rFonts w:ascii="Times New Roman" w:cs="Times New Roman" w:eastAsia="Times New Roman" w:hAnsi="Times New Roman"/>
        </w:rPr>
        <w:t xml:space="preserve"> и изучается влияние содержания активных компонентов на каталитическую активность.</w:t>
      </w:r>
      <w:r>
        <w:rPr>
          <w:rFonts w:ascii="Times New Roman" w:cs="Times New Roman" w:eastAsia="Times New Roman" w:hAnsi="Times New Roman"/>
          <w:lang w:val="en-US"/>
        </w:rPr>
        <w:t xml:space="preserve"> </w:t>
      </w:r>
      <w:r>
        <w:rPr>
          <w:rFonts w:ascii="Times New Roman" w:cs="Times New Roman" w:eastAsia="Times New Roman" w:hAnsi="Times New Roman"/>
        </w:rPr>
        <w:t>Для получения носителей катализаторов использовался золь-гель метод с применением β-</w:t>
      </w:r>
      <w:r>
        <w:rPr>
          <w:rFonts w:ascii="Times New Roman" w:cs="Times New Roman" w:eastAsia="Times New Roman" w:hAnsi="Times New Roman"/>
        </w:rPr>
        <w:t>циклодекстрина</w:t>
      </w:r>
      <w:r>
        <w:rPr>
          <w:rFonts w:ascii="Times New Roman" w:cs="Times New Roman" w:eastAsia="Times New Roman" w:hAnsi="Times New Roman"/>
        </w:rPr>
        <w:t xml:space="preserve"> в качестве </w:t>
      </w:r>
      <w:r>
        <w:rPr>
          <w:rFonts w:ascii="Times New Roman" w:cs="Times New Roman" w:eastAsia="Times New Roman" w:hAnsi="Times New Roman"/>
        </w:rPr>
        <w:t>темплата</w:t>
      </w:r>
      <w:r>
        <w:rPr>
          <w:rFonts w:ascii="Times New Roman" w:cs="Times New Roman" w:eastAsia="Times New Roman" w:hAnsi="Times New Roman"/>
        </w:rPr>
        <w:t>, что связано со способностью данного вещества образо</w:t>
      </w:r>
      <w:r>
        <w:rPr>
          <w:rFonts w:ascii="Times New Roman" w:cs="Times New Roman" w:eastAsia="Times New Roman" w:hAnsi="Times New Roman"/>
        </w:rPr>
        <w:t>вы</w:t>
      </w:r>
      <w:r>
        <w:rPr>
          <w:rFonts w:ascii="Times New Roman" w:cs="Times New Roman" w:eastAsia="Times New Roman" w:hAnsi="Times New Roman"/>
        </w:rPr>
        <w:t>вать колончатые, червеобразные структуры при определенных условиях [</w:t>
      </w:r>
      <w:r>
        <w:rPr>
          <w:rFonts w:ascii="Times New Roman" w:cs="Times New Roman" w:eastAsia="Times New Roman" w:hAnsi="Times New Roman"/>
        </w:rPr>
        <w:t>1</w:t>
      </w:r>
      <w:r>
        <w:rPr>
          <w:rFonts w:ascii="Times New Roman" w:cs="Times New Roman" w:eastAsia="Times New Roman" w:hAnsi="Times New Roman"/>
        </w:rPr>
        <w:t xml:space="preserve">]. Для приготовления образцов были взяты </w:t>
      </w:r>
      <w:r>
        <w:rPr>
          <w:rFonts w:ascii="Times New Roman" w:cs="Times New Roman" w:eastAsia="Times New Roman" w:hAnsi="Times New Roman"/>
        </w:rPr>
        <w:t>тетраэтоксисилан</w:t>
      </w:r>
      <w:r>
        <w:rPr>
          <w:rFonts w:ascii="Times New Roman" w:cs="Times New Roman" w:eastAsia="Times New Roman" w:hAnsi="Times New Roman"/>
        </w:rPr>
        <w:t xml:space="preserve"> с добавлением HNO</w:t>
      </w:r>
      <w:r>
        <w:rPr>
          <w:rFonts w:ascii="Times New Roman" w:cs="Times New Roman" w:eastAsia="Times New Roman" w:hAnsi="Times New Roman"/>
          <w:vertAlign w:val="subscript"/>
        </w:rPr>
        <w:t>3</w:t>
      </w:r>
      <w:r>
        <w:rPr>
          <w:rFonts w:ascii="Times New Roman" w:cs="Times New Roman" w:eastAsia="Times New Roman" w:hAnsi="Times New Roman"/>
        </w:rPr>
        <w:t xml:space="preserve"> 0.1 М и β-</w:t>
      </w:r>
      <w:r>
        <w:rPr>
          <w:rFonts w:ascii="Times New Roman" w:cs="Times New Roman" w:eastAsia="Times New Roman" w:hAnsi="Times New Roman"/>
        </w:rPr>
        <w:t>циклодекстрин</w:t>
      </w:r>
      <w:r>
        <w:rPr>
          <w:rFonts w:ascii="Times New Roman" w:cs="Times New Roman" w:eastAsia="Times New Roman" w:hAnsi="Times New Roman"/>
        </w:rPr>
        <w:t xml:space="preserve"> с мочевиной, взяты</w:t>
      </w:r>
      <w:r>
        <w:rPr>
          <w:rFonts w:ascii="Times New Roman" w:cs="Times New Roman" w:eastAsia="Times New Roman" w:hAnsi="Times New Roman"/>
        </w:rPr>
        <w:t>е</w:t>
      </w:r>
      <w:r>
        <w:rPr>
          <w:rFonts w:ascii="Times New Roman" w:cs="Times New Roman" w:eastAsia="Times New Roman" w:hAnsi="Times New Roman"/>
        </w:rPr>
        <w:t xml:space="preserve"> в массовом соотношении 1:3 соответственно, чтобы получить смесь с массовой долей </w:t>
      </w:r>
      <w:r>
        <w:rPr>
          <w:rFonts w:ascii="Times New Roman" w:cs="Times New Roman" w:eastAsia="Times New Roman" w:hAnsi="Times New Roman"/>
        </w:rPr>
        <w:t>темплата</w:t>
      </w:r>
      <w:r>
        <w:rPr>
          <w:rFonts w:ascii="Times New Roman" w:cs="Times New Roman" w:eastAsia="Times New Roman" w:hAnsi="Times New Roman"/>
        </w:rPr>
        <w:t xml:space="preserve"> 60 </w:t>
      </w:r>
      <w:r>
        <w:rPr>
          <w:rStyle w:val="style87"/>
          <w:rFonts w:ascii="Arial" w:cs="Arial" w:eastAsia="Arial" w:hAnsi="Arial"/>
          <w:color w:val="333333"/>
          <w:shd w:val="clear" w:color="auto" w:fill="ffffff"/>
        </w:rPr>
        <w:t>%</w:t>
      </w:r>
      <w:r>
        <w:rPr>
          <w:rFonts w:ascii="Times New Roman" w:cs="Times New Roman" w:eastAsia="Times New Roman" w:hAnsi="Times New Roman"/>
        </w:rPr>
        <w:t xml:space="preserve">. После образования и старения гель был высушен при 120°С (24 ч), далее отожжён при 600°С (2 ч). С помощью метода пропитки по влагоёмкости был введён нитрат церия с последующей сушкой при 120°С (24 ч) и отжигом при 600°С (2 ч) </w:t>
      </w:r>
      <w:r>
        <w:rPr>
          <w:rFonts w:ascii="Times New Roman" w:cs="Times New Roman" w:eastAsia="Times New Roman" w:hAnsi="Times New Roman"/>
          <w:lang w:val="en-US"/>
        </w:rPr>
        <w:t xml:space="preserve">для </w:t>
      </w:r>
      <w:r>
        <w:rPr>
          <w:rFonts w:ascii="Times New Roman" w:cs="Times New Roman" w:eastAsia="Times New Roman" w:hAnsi="Times New Roman"/>
        </w:rPr>
        <w:t xml:space="preserve"> получени</w:t>
      </w:r>
      <w:r>
        <w:rPr>
          <w:rFonts w:ascii="Times New Roman" w:cs="Times New Roman" w:eastAsia="Times New Roman" w:hAnsi="Times New Roman"/>
          <w:lang w:val="en-US"/>
        </w:rPr>
        <w:t>я</w:t>
      </w:r>
      <w:r>
        <w:rPr>
          <w:rFonts w:ascii="Times New Roman" w:cs="Times New Roman" w:eastAsia="Times New Roman" w:hAnsi="Times New Roman"/>
        </w:rPr>
        <w:t xml:space="preserve"> образцов с массовым соотношением оксида церия и оксида кремния 1:9, 2:8 и 3:7 соответственно. Затем на полученные образцы также методом пропитки по влагоёмкости был нанесён раствор нитрата меди и проведены сушка при 120°С (24 ч) и отжиг при 420°С (2 ч). </w:t>
      </w:r>
    </w:p>
    <w:p>
      <w:pPr>
        <w:pStyle w:val="style0"/>
        <w:spacing w:after="0" w:lineRule="auto" w:line="240"/>
        <w:ind w:right="270" w:firstLine="425"/>
        <w:jc w:val="both"/>
        <w:rPr>
          <w:rFonts w:ascii="Times New Roman" w:cs="Times New Roman" w:eastAsia="Times New Roman" w:hAnsi="Times New Roman"/>
          <w:highlight w:val="none"/>
        </w:rPr>
      </w:pPr>
      <w:r>
        <w:rPr>
          <w:rFonts w:ascii="Times New Roman" w:cs="Times New Roman" w:eastAsia="Times New Roman" w:hAnsi="Times New Roman"/>
        </w:rPr>
        <w:t xml:space="preserve">В итоге, в ходе работы было получено шесть образцов следующего состава: </w:t>
      </w:r>
      <w:r>
        <w:rPr>
          <w:rFonts w:ascii="Times New Roman" w:cs="Times New Roman" w:eastAsia="Times New Roman" w:hAnsi="Times New Roman"/>
        </w:rPr>
        <w:t>CuO</w:t>
      </w:r>
      <w:r>
        <w:rPr>
          <w:rFonts w:ascii="Times New Roman" w:cs="Times New Roman" w:eastAsia="Times New Roman" w:hAnsi="Times New Roman"/>
        </w:rPr>
        <w:t>/SiO</w:t>
      </w:r>
      <w:r>
        <w:rPr>
          <w:rFonts w:ascii="Times New Roman" w:cs="Times New Roman" w:eastAsia="Times New Roman" w:hAnsi="Times New Roman"/>
          <w:vertAlign w:val="subscript"/>
        </w:rPr>
        <w:t>2</w:t>
      </w:r>
      <w:r>
        <w:rPr>
          <w:rFonts w:ascii="Times New Roman" w:cs="Times New Roman" w:eastAsia="Times New Roman" w:hAnsi="Times New Roman"/>
        </w:rPr>
        <w:t xml:space="preserve"> (содержание </w:t>
      </w:r>
      <w:r>
        <w:rPr>
          <w:rFonts w:ascii="Times New Roman" w:cs="Times New Roman" w:eastAsia="Times New Roman" w:hAnsi="Times New Roman"/>
          <w:lang w:val="en-US"/>
        </w:rPr>
        <w:t>CuO</w:t>
      </w:r>
      <w:r>
        <w:rPr>
          <w:rFonts w:ascii="Times New Roman" w:cs="Times New Roman" w:eastAsia="Times New Roman" w:hAnsi="Times New Roman"/>
        </w:rPr>
        <w:t xml:space="preserve"> 5 и 10 масс.%), </w:t>
      </w:r>
      <w:r>
        <w:rPr>
          <w:rFonts w:ascii="Times New Roman" w:cs="Times New Roman" w:eastAsia="Times New Roman" w:hAnsi="Times New Roman"/>
        </w:rPr>
        <w:t>CuO</w:t>
      </w:r>
      <w:r>
        <w:rPr>
          <w:rFonts w:ascii="Times New Roman" w:cs="Times New Roman" w:eastAsia="Times New Roman" w:hAnsi="Times New Roman"/>
        </w:rPr>
        <w:t>/</w:t>
      </w:r>
      <w:r>
        <w:rPr>
          <w:rFonts w:ascii="Times New Roman" w:cs="Times New Roman" w:eastAsia="Times New Roman" w:hAnsi="Times New Roman"/>
          <w:lang w:val="en-US"/>
        </w:rPr>
        <w:t>CeO</w:t>
      </w:r>
      <w:r>
        <w:rPr>
          <w:rFonts w:ascii="Times New Roman" w:cs="Times New Roman" w:eastAsia="Times New Roman" w:hAnsi="Times New Roman"/>
          <w:vertAlign w:val="subscript"/>
        </w:rPr>
        <w:t>2</w:t>
      </w:r>
      <w:r>
        <w:rPr>
          <w:rFonts w:ascii="Times New Roman" w:cs="Times New Roman" w:eastAsia="Times New Roman" w:hAnsi="Times New Roman"/>
        </w:rPr>
        <w:t>-SiO</w:t>
      </w:r>
      <w:r>
        <w:rPr>
          <w:rFonts w:ascii="Times New Roman" w:cs="Times New Roman" w:eastAsia="Times New Roman" w:hAnsi="Times New Roman"/>
          <w:vertAlign w:val="subscript"/>
        </w:rPr>
        <w:t>2</w:t>
      </w:r>
      <w:r>
        <w:rPr>
          <w:rFonts w:ascii="Times New Roman" w:cs="Times New Roman" w:eastAsia="Times New Roman" w:hAnsi="Times New Roman"/>
        </w:rPr>
        <w:t xml:space="preserve"> (массовое соотношение </w:t>
      </w:r>
      <w:r>
        <w:rPr>
          <w:rFonts w:ascii="Times New Roman" w:cs="Times New Roman" w:eastAsia="Times New Roman" w:hAnsi="Times New Roman"/>
          <w:lang w:val="en-US"/>
        </w:rPr>
        <w:t>CeO</w:t>
      </w:r>
      <w:r>
        <w:rPr>
          <w:rFonts w:ascii="Times New Roman" w:cs="Times New Roman" w:eastAsia="Times New Roman" w:hAnsi="Times New Roman"/>
          <w:vertAlign w:val="subscript"/>
        </w:rPr>
        <w:t>2</w:t>
      </w:r>
      <w:r>
        <w:rPr>
          <w:rFonts w:ascii="Times New Roman" w:cs="Times New Roman" w:eastAsia="Times New Roman" w:hAnsi="Times New Roman"/>
        </w:rPr>
        <w:t xml:space="preserve"> к </w:t>
      </w:r>
      <w:r>
        <w:rPr>
          <w:rFonts w:ascii="Times New Roman" w:cs="Times New Roman" w:eastAsia="Times New Roman" w:hAnsi="Times New Roman"/>
          <w:lang w:val="en-US"/>
        </w:rPr>
        <w:t>SiO</w:t>
      </w:r>
      <w:r>
        <w:rPr>
          <w:rFonts w:ascii="Times New Roman" w:cs="Times New Roman" w:eastAsia="Times New Roman" w:hAnsi="Times New Roman"/>
          <w:vertAlign w:val="subscript"/>
        </w:rPr>
        <w:t>2</w:t>
      </w:r>
      <w:r>
        <w:rPr>
          <w:rFonts w:ascii="Times New Roman" w:cs="Times New Roman" w:eastAsia="Times New Roman" w:hAnsi="Times New Roman"/>
        </w:rPr>
        <w:t xml:space="preserve"> 1:9, 2:8 и 3:7 и содержание </w:t>
      </w:r>
      <w:r>
        <w:rPr>
          <w:rFonts w:ascii="Times New Roman" w:cs="Times New Roman" w:eastAsia="Times New Roman" w:hAnsi="Times New Roman"/>
          <w:lang w:val="en-US"/>
        </w:rPr>
        <w:t>CuO</w:t>
      </w:r>
      <w:r>
        <w:rPr>
          <w:rFonts w:ascii="Times New Roman" w:cs="Times New Roman" w:eastAsia="Times New Roman" w:hAnsi="Times New Roman"/>
        </w:rPr>
        <w:t xml:space="preserve"> 10 масс.%), а также образец </w:t>
      </w:r>
      <w:r>
        <w:rPr>
          <w:rFonts w:ascii="Times New Roman" w:cs="Times New Roman" w:eastAsia="Times New Roman" w:hAnsi="Times New Roman"/>
        </w:rPr>
        <w:t>CuO</w:t>
      </w:r>
      <w:r>
        <w:rPr>
          <w:rFonts w:ascii="Times New Roman" w:cs="Times New Roman" w:eastAsia="Times New Roman" w:hAnsi="Times New Roman"/>
        </w:rPr>
        <w:t>/</w:t>
      </w:r>
      <w:r>
        <w:rPr>
          <w:rFonts w:ascii="Times New Roman" w:cs="Times New Roman" w:eastAsia="Times New Roman" w:hAnsi="Times New Roman"/>
          <w:lang w:val="en-US"/>
        </w:rPr>
        <w:t>CeO</w:t>
      </w:r>
      <w:r>
        <w:rPr>
          <w:rFonts w:ascii="Times New Roman" w:cs="Times New Roman" w:eastAsia="Times New Roman" w:hAnsi="Times New Roman"/>
          <w:vertAlign w:val="subscript"/>
        </w:rPr>
        <w:t>2</w:t>
      </w:r>
      <w:r>
        <w:rPr>
          <w:rFonts w:ascii="Times New Roman" w:cs="Times New Roman" w:eastAsia="Times New Roman" w:hAnsi="Times New Roman"/>
        </w:rPr>
        <w:t>-SiO</w:t>
      </w:r>
      <w:r>
        <w:rPr>
          <w:rFonts w:ascii="Times New Roman" w:cs="Times New Roman" w:eastAsia="Times New Roman" w:hAnsi="Times New Roman"/>
          <w:vertAlign w:val="subscript"/>
        </w:rPr>
        <w:t>2</w:t>
      </w:r>
      <w:r>
        <w:rPr>
          <w:rFonts w:ascii="Times New Roman" w:cs="Times New Roman" w:eastAsia="Times New Roman" w:hAnsi="Times New Roman"/>
        </w:rPr>
        <w:t xml:space="preserve"> (массовое соотношение </w:t>
      </w:r>
      <w:r>
        <w:rPr>
          <w:rFonts w:ascii="Times New Roman" w:cs="Times New Roman" w:eastAsia="Times New Roman" w:hAnsi="Times New Roman"/>
          <w:lang w:val="en-US"/>
        </w:rPr>
        <w:t>CeO</w:t>
      </w:r>
      <w:r>
        <w:rPr>
          <w:rFonts w:ascii="Times New Roman" w:cs="Times New Roman" w:eastAsia="Times New Roman" w:hAnsi="Times New Roman"/>
          <w:vertAlign w:val="subscript"/>
        </w:rPr>
        <w:t>2</w:t>
      </w:r>
      <w:r>
        <w:rPr>
          <w:rFonts w:ascii="Times New Roman" w:cs="Times New Roman" w:eastAsia="Times New Roman" w:hAnsi="Times New Roman"/>
        </w:rPr>
        <w:t xml:space="preserve"> к </w:t>
      </w:r>
      <w:r>
        <w:rPr>
          <w:rFonts w:ascii="Times New Roman" w:cs="Times New Roman" w:eastAsia="Times New Roman" w:hAnsi="Times New Roman"/>
          <w:lang w:val="en-US"/>
        </w:rPr>
        <w:t>SiO</w:t>
      </w:r>
      <w:r>
        <w:rPr>
          <w:rFonts w:ascii="Times New Roman" w:cs="Times New Roman" w:eastAsia="Times New Roman" w:hAnsi="Times New Roman"/>
          <w:vertAlign w:val="subscript"/>
        </w:rPr>
        <w:t>2</w:t>
      </w:r>
      <w:r>
        <w:rPr>
          <w:rFonts w:ascii="Times New Roman" w:cs="Times New Roman" w:eastAsia="Times New Roman" w:hAnsi="Times New Roman"/>
        </w:rPr>
        <w:t xml:space="preserve"> 2:8 и содержание </w:t>
      </w:r>
      <w:r>
        <w:rPr>
          <w:rFonts w:ascii="Times New Roman" w:cs="Times New Roman" w:eastAsia="Times New Roman" w:hAnsi="Times New Roman"/>
          <w:lang w:val="en-US"/>
        </w:rPr>
        <w:t>CuO</w:t>
      </w:r>
      <w:r>
        <w:rPr>
          <w:rFonts w:ascii="Times New Roman" w:cs="Times New Roman" w:eastAsia="Times New Roman" w:hAnsi="Times New Roman"/>
        </w:rPr>
        <w:t xml:space="preserve"> 5 масс.%). Полученные образцы исследовались метод</w:t>
      </w:r>
      <w:r>
        <w:rPr>
          <w:rFonts w:ascii="Times New Roman" w:cs="Times New Roman" w:eastAsia="Times New Roman" w:hAnsi="Times New Roman"/>
        </w:rPr>
        <w:t>ом</w:t>
      </w:r>
      <w:r>
        <w:rPr>
          <w:rFonts w:ascii="Times New Roman" w:cs="Times New Roman" w:eastAsia="Times New Roman" w:hAnsi="Times New Roman"/>
        </w:rPr>
        <w:t xml:space="preserve"> рентгенофазового анализа</w:t>
      </w:r>
      <w:r>
        <w:rPr>
          <w:rFonts w:ascii="Times New Roman" w:cs="Times New Roman" w:eastAsia="Times New Roman" w:hAnsi="Times New Roman"/>
        </w:rPr>
        <w:t>. На рентгенограмм</w:t>
      </w:r>
      <w:r>
        <w:rPr>
          <w:rFonts w:ascii="Times New Roman" w:cs="Times New Roman" w:eastAsia="Times New Roman" w:hAnsi="Times New Roman"/>
        </w:rPr>
        <w:t>ах</w:t>
      </w:r>
      <w:r>
        <w:rPr>
          <w:rFonts w:ascii="Times New Roman" w:cs="Times New Roman" w:eastAsia="Times New Roman" w:hAnsi="Times New Roman"/>
        </w:rPr>
        <w:t xml:space="preserve"> образцов</w:t>
      </w:r>
      <w:r>
        <w:rPr>
          <w:rFonts w:ascii="Times New Roman" w:cs="Times New Roman" w:eastAsia="Times New Roman" w:hAnsi="Times New Roman"/>
        </w:rPr>
        <w:t>,</w:t>
      </w:r>
      <w:r>
        <w:rPr>
          <w:rFonts w:ascii="Times New Roman" w:cs="Times New Roman" w:eastAsia="Times New Roman" w:hAnsi="Times New Roman"/>
        </w:rPr>
        <w:t xml:space="preserve"> не содержащих цери</w:t>
      </w:r>
      <w:r>
        <w:rPr>
          <w:rFonts w:ascii="Times New Roman" w:cs="Times New Roman" w:eastAsia="Times New Roman" w:hAnsi="Times New Roman"/>
        </w:rPr>
        <w:t>й</w:t>
      </w:r>
      <w:r>
        <w:rPr>
          <w:rFonts w:ascii="Times New Roman" w:cs="Times New Roman" w:eastAsia="Times New Roman" w:hAnsi="Times New Roman"/>
        </w:rPr>
        <w:t xml:space="preserve">, </w:t>
      </w:r>
      <w:r>
        <w:rPr>
          <w:rFonts w:ascii="Times New Roman" w:cs="Times New Roman" w:eastAsia="Times New Roman" w:hAnsi="Times New Roman"/>
        </w:rPr>
        <w:t>наблюдалось</w:t>
      </w:r>
      <w:r>
        <w:rPr>
          <w:rFonts w:ascii="Times New Roman" w:cs="Times New Roman" w:eastAsia="Times New Roman" w:hAnsi="Times New Roman"/>
        </w:rPr>
        <w:t xml:space="preserve"> широкое </w:t>
      </w:r>
      <w:r>
        <w:rPr>
          <w:rFonts w:ascii="Times New Roman" w:cs="Times New Roman" w:eastAsia="Times New Roman" w:hAnsi="Times New Roman"/>
          <w:highlight w:val="none"/>
        </w:rPr>
        <w:t>гало, характерное для SiO</w:t>
      </w:r>
      <w:r>
        <w:rPr>
          <w:rFonts w:ascii="Times New Roman" w:cs="Times New Roman" w:eastAsia="Times New Roman" w:hAnsi="Times New Roman"/>
          <w:highlight w:val="none"/>
          <w:vertAlign w:val="subscript"/>
        </w:rPr>
        <w:t xml:space="preserve">2 </w:t>
      </w:r>
      <w:r>
        <w:rPr>
          <w:rFonts w:ascii="Times New Roman" w:cs="Times New Roman" w:eastAsia="Times New Roman" w:hAnsi="Times New Roman"/>
          <w:highlight w:val="none"/>
        </w:rPr>
        <w:t xml:space="preserve">и рефлексы, свойственные для </w:t>
      </w:r>
      <w:r>
        <w:rPr>
          <w:rFonts w:ascii="Times New Roman" w:cs="Times New Roman" w:eastAsia="Times New Roman" w:hAnsi="Times New Roman"/>
          <w:highlight w:val="none"/>
          <w:lang w:val="en-US"/>
        </w:rPr>
        <w:t>CuO</w:t>
      </w:r>
      <w:r>
        <w:rPr>
          <w:rFonts w:ascii="Times New Roman" w:cs="Times New Roman" w:eastAsia="Times New Roman" w:hAnsi="Times New Roman"/>
          <w:highlight w:val="none"/>
        </w:rPr>
        <w:t>, более выраженные для образца CuO/SiO</w:t>
      </w:r>
      <w:r>
        <w:rPr>
          <w:rFonts w:ascii="Times New Roman" w:cs="Times New Roman" w:eastAsia="Times New Roman" w:hAnsi="Times New Roman"/>
          <w:highlight w:val="none"/>
          <w:vertAlign w:val="subscript"/>
        </w:rPr>
        <w:t>2</w:t>
      </w:r>
      <w:r>
        <w:rPr>
          <w:rFonts w:ascii="Times New Roman" w:cs="Times New Roman" w:eastAsia="Times New Roman" w:hAnsi="Times New Roman"/>
          <w:highlight w:val="none"/>
        </w:rPr>
        <w:t xml:space="preserve"> 10% по сравнению с CuO/SiO</w:t>
      </w:r>
      <w:r>
        <w:rPr>
          <w:rFonts w:ascii="Times New Roman" w:cs="Times New Roman" w:eastAsia="Times New Roman" w:hAnsi="Times New Roman"/>
          <w:highlight w:val="none"/>
          <w:vertAlign w:val="subscript"/>
        </w:rPr>
        <w:t>2</w:t>
      </w:r>
      <w:r>
        <w:rPr>
          <w:rFonts w:ascii="Times New Roman" w:cs="Times New Roman" w:eastAsia="Times New Roman" w:hAnsi="Times New Roman"/>
          <w:highlight w:val="none"/>
        </w:rPr>
        <w:t xml:space="preserve"> 5%. На рентгенограммах образцов с церием наблюдались рефлексы CuO и </w:t>
      </w:r>
      <w:r>
        <w:rPr>
          <w:rFonts w:ascii="Times New Roman" w:cs="Times New Roman" w:eastAsia="Times New Roman" w:hAnsi="Times New Roman"/>
          <w:highlight w:val="none"/>
          <w:lang w:val="en-US"/>
        </w:rPr>
        <w:t>CeO</w:t>
      </w:r>
      <w:r>
        <w:rPr>
          <w:rFonts w:ascii="Times New Roman" w:cs="Times New Roman" w:eastAsia="Times New Roman" w:hAnsi="Times New Roman"/>
          <w:highlight w:val="none"/>
          <w:vertAlign w:val="subscript"/>
        </w:rPr>
        <w:t>2</w:t>
      </w:r>
      <w:r>
        <w:rPr>
          <w:rFonts w:ascii="Times New Roman" w:cs="Times New Roman" w:eastAsia="Times New Roman" w:hAnsi="Times New Roman"/>
          <w:highlight w:val="none"/>
        </w:rPr>
        <w:t>, интенсивность которых увеличивалась с ростом содержания соответствующих веществ. По результатам термогравиметрического и дифференциально-термического анализов (ТГА и ДТА) с масс-спектральной регистрацией газообразных продуктов разложения можно сделать вывод о том, что у образцов, при отжиге которых образуются CuO/</w:t>
      </w:r>
      <w:r>
        <w:rPr>
          <w:rFonts w:ascii="Times New Roman" w:cs="Times New Roman" w:eastAsia="Times New Roman" w:hAnsi="Times New Roman"/>
          <w:highlight w:val="none"/>
          <w:lang w:val="en-US"/>
        </w:rPr>
        <w:t>CeO</w:t>
      </w:r>
      <w:r>
        <w:rPr>
          <w:rFonts w:ascii="Times New Roman" w:cs="Times New Roman" w:eastAsia="Times New Roman" w:hAnsi="Times New Roman"/>
          <w:highlight w:val="none"/>
          <w:vertAlign w:val="subscript"/>
        </w:rPr>
        <w:t>2</w:t>
      </w:r>
      <w:r>
        <w:rPr>
          <w:rFonts w:ascii="Times New Roman" w:cs="Times New Roman" w:eastAsia="Times New Roman" w:hAnsi="Times New Roman"/>
          <w:highlight w:val="none"/>
        </w:rPr>
        <w:t>-SiO</w:t>
      </w:r>
      <w:r>
        <w:rPr>
          <w:rFonts w:ascii="Times New Roman" w:cs="Times New Roman" w:eastAsia="Times New Roman" w:hAnsi="Times New Roman"/>
          <w:highlight w:val="none"/>
          <w:vertAlign w:val="subscript"/>
        </w:rPr>
        <w:t xml:space="preserve">2 </w:t>
      </w:r>
      <w:r>
        <w:rPr>
          <w:rFonts w:ascii="Times New Roman" w:cs="Times New Roman" w:eastAsia="Times New Roman" w:hAnsi="Times New Roman"/>
          <w:highlight w:val="none"/>
        </w:rPr>
        <w:t xml:space="preserve">1:9, 2:8 и 3:7 и содержанием </w:t>
      </w:r>
      <w:r>
        <w:rPr>
          <w:rFonts w:ascii="Times New Roman" w:cs="Times New Roman" w:eastAsia="Times New Roman" w:hAnsi="Times New Roman"/>
          <w:highlight w:val="none"/>
          <w:lang w:val="en-US"/>
        </w:rPr>
        <w:t>CuO</w:t>
      </w:r>
      <w:r>
        <w:rPr>
          <w:rFonts w:ascii="Times New Roman" w:cs="Times New Roman" w:eastAsia="Times New Roman" w:hAnsi="Times New Roman"/>
          <w:highlight w:val="none"/>
        </w:rPr>
        <w:t xml:space="preserve"> 10 масс.%, отщепление воды происходит в температурном интервале от 60 до 170°С; от 60 до 230°С; от 60 до 240°С, а разложение нитрата - от 150 до 300 °С; от 160 до 250°С; от 160 до 270°С соответственно. Также проведены низкотемпературный анализ адсорбции-десорбции азота, каталитические испытания в реакции гидрирования углекислого газа в метанол и изучен изотопный обмен кислорода с использованием CO</w:t>
      </w:r>
      <w:r>
        <w:rPr>
          <w:rFonts w:ascii="Times New Roman" w:cs="Times New Roman" w:eastAsia="Times New Roman" w:hAnsi="Times New Roman"/>
          <w:highlight w:val="none"/>
          <w:vertAlign w:val="subscript"/>
        </w:rPr>
        <w:t>2</w:t>
      </w:r>
      <w:r>
        <w:rPr>
          <w:rFonts w:ascii="Times New Roman" w:cs="Times New Roman" w:eastAsia="Times New Roman" w:hAnsi="Times New Roman"/>
          <w:highlight w:val="none"/>
          <w:vertAlign w:val="superscript"/>
        </w:rPr>
        <w:t>18</w:t>
      </w:r>
      <w:r>
        <w:rPr>
          <w:rFonts w:ascii="Times New Roman" w:cs="Times New Roman" w:eastAsia="Times New Roman" w:hAnsi="Times New Roman"/>
          <w:highlight w:val="none"/>
        </w:rPr>
        <w:t>. Результаты представлены в работе.</w:t>
      </w:r>
    </w:p>
    <w:p>
      <w:pPr>
        <w:pStyle w:val="style0"/>
        <w:spacing w:after="0" w:lineRule="auto" w:line="240"/>
        <w:ind w:right="270" w:firstLine="425"/>
        <w:jc w:val="both"/>
        <w:rPr>
          <w:rFonts w:ascii="Times New Roman" w:cs="Times New Roman" w:eastAsia="Times New Roman" w:hAnsi="Times New Roman"/>
          <w:highlight w:val="none"/>
        </w:rPr>
      </w:pPr>
      <w:r>
        <w:rPr>
          <w:rFonts w:ascii="Times New Roman" w:cs="Times New Roman" w:eastAsia="Times New Roman" w:hAnsi="Times New Roman"/>
          <w:highlight w:val="none"/>
        </w:rPr>
        <w:t>ТГА, ДТА и исследование изотопного обмена выполнены с использованием оборудования, приобретённого за счёт средств Программы развития Московского университета.</w:t>
      </w:r>
    </w:p>
    <w:p>
      <w:pPr>
        <w:pStyle w:val="style0"/>
        <w:spacing w:after="0" w:lineRule="auto" w:line="240"/>
        <w:ind w:right="270" w:firstLine="425"/>
        <w:jc w:val="center"/>
        <w:rPr>
          <w:rFonts w:ascii="Times New Roman" w:cs="Times New Roman" w:eastAsia="Times New Roman" w:hAnsi="Times New Roman"/>
          <w:b/>
          <w:bCs/>
        </w:rPr>
      </w:pPr>
      <w:r>
        <w:rPr>
          <w:rFonts w:ascii="Times New Roman" w:cs="Times New Roman" w:eastAsia="Times New Roman" w:hAnsi="Times New Roman"/>
          <w:b/>
          <w:bCs/>
        </w:rPr>
        <w:t>Литература:</w:t>
      </w:r>
    </w:p>
    <w:p>
      <w:pPr>
        <w:pStyle w:val="style179"/>
        <w:numPr>
          <w:ilvl w:val="0"/>
          <w:numId w:val="1"/>
        </w:numPr>
        <w:spacing w:after="0" w:lineRule="auto" w:line="240"/>
        <w:ind w:right="270"/>
        <w:jc w:val="both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Топчиева И. Н., Панова И. Г. // Кол</w:t>
      </w:r>
      <w:r>
        <w:rPr>
          <w:rFonts w:ascii="Times New Roman" w:cs="Times New Roman" w:eastAsia="Times New Roman" w:hAnsi="Times New Roman"/>
          <w:lang w:val="en-US"/>
        </w:rPr>
        <w:t xml:space="preserve">. </w:t>
      </w:r>
      <w:r>
        <w:rPr>
          <w:rFonts w:ascii="Times New Roman" w:cs="Times New Roman" w:eastAsia="Times New Roman" w:hAnsi="Times New Roman"/>
        </w:rPr>
        <w:t>ж</w:t>
      </w:r>
      <w:r>
        <w:rPr>
          <w:rFonts w:ascii="Times New Roman" w:cs="Times New Roman" w:eastAsia="Times New Roman" w:hAnsi="Times New Roman"/>
          <w:lang w:val="en-US"/>
        </w:rPr>
        <w:t xml:space="preserve">. </w:t>
      </w:r>
      <w:r>
        <w:rPr>
          <w:rFonts w:ascii="Times New Roman" w:cs="Times New Roman" w:eastAsia="Times New Roman" w:hAnsi="Times New Roman"/>
        </w:rPr>
        <w:t>2008. T.70. №3. C. 392.</w:t>
      </w:r>
    </w:p>
    <w:sectPr>
      <w:headerReference w:type="default" r:id="rId2"/>
      <w:footerReference w:type="default" r:id="rId3"/>
      <w:pgSz w:w="11906" w:h="16838" w:orient="portrait"/>
      <w:pgMar w:top="1134" w:right="1361" w:bottom="1134" w:left="136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000010101"/>
    <w:charset w:val="86"/>
    <w:family w:val="auto"/>
    <w:pitch w:val="variable"/>
    <w:sig w:usb0="00000203" w:usb1="288F0000" w:usb2="00000016" w:usb3="00000000" w:csb0="00040001" w:csb1="00000000"/>
  </w:font>
  <w:font w:name="Aptos">
    <w:altName w:val="Aptos"/>
    <w:panose1 w:val="00000000000000000000"/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000020204"/>
    <w:charset w:val="cc"/>
    <w:family w:val="swiss"/>
    <w:pitch w:val="variable"/>
    <w:sig w:usb0="E0002EFF" w:usb1="C000785B" w:usb2="00000009" w:usb3="00000000" w:csb0="000001FF" w:csb1="00000000"/>
  </w:font>
  <w:font w:name="Aptos Display">
    <w:altName w:val="Aptos Display"/>
    <w:panose1 w:val="00000000000000000000"/>
    <w:charset w:val="00"/>
    <w:family w:val="swiss"/>
    <w:pitch w:val="variable"/>
    <w:sig w:usb0="20000287" w:usb1="00000003" w:usb2="00000000" w:usb3="00000000" w:csb0="0000019F" w:csb1="00000000"/>
  </w:font>
</w:fonts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tbl>
    <w:tblPr>
      <w:tblW w:w="0" w:type="auto"/>
      <w:tblLook w:val="04A0" w:firstRow="1" w:lastRow="0" w:firstColumn="1" w:lastColumn="0" w:noHBand="0" w:noVBand="1"/>
    </w:tblPr>
    <w:tblGrid>
      <w:gridCol w:w="3005"/>
      <w:gridCol w:w="3005"/>
      <w:gridCol w:w="3005"/>
    </w:tblGrid>
    <w:tr>
      <w:trPr>
        <w:trHeight w:val="300" w:hRule="atLeast"/>
      </w:trPr>
      <w:tc>
        <w:tcPr>
          <w:tcW w:w="3005" w:type="dxa"/>
          <w:tcBorders/>
        </w:tcPr>
        <w:p>
          <w:pPr>
            <w:pStyle w:val="style31"/>
            <w:ind w:left="-115"/>
            <w:rPr/>
          </w:pPr>
        </w:p>
      </w:tc>
      <w:tc>
        <w:tcPr>
          <w:tcW w:w="3005" w:type="dxa"/>
          <w:tcBorders/>
        </w:tcPr>
        <w:p>
          <w:pPr>
            <w:pStyle w:val="style31"/>
            <w:jc w:val="center"/>
            <w:rPr/>
          </w:pPr>
        </w:p>
      </w:tc>
      <w:tc>
        <w:tcPr>
          <w:tcW w:w="3005" w:type="dxa"/>
          <w:tcBorders/>
        </w:tcPr>
        <w:p>
          <w:pPr>
            <w:pStyle w:val="style31"/>
            <w:ind w:right="-115"/>
            <w:jc w:val="right"/>
            <w:rPr/>
          </w:pPr>
        </w:p>
      </w:tc>
    </w:tr>
  </w:tbl>
  <w:p>
    <w:pPr>
      <w:pStyle w:val="style0"/>
      <w:rPr/>
    </w:pP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tbl>
    <w:tblPr>
      <w:tblW w:w="0" w:type="auto"/>
      <w:tblLook w:val="04A0" w:firstRow="1" w:lastRow="0" w:firstColumn="1" w:lastColumn="0" w:noHBand="0" w:noVBand="1"/>
    </w:tblPr>
    <w:tblGrid>
      <w:gridCol w:w="3005"/>
      <w:gridCol w:w="3005"/>
      <w:gridCol w:w="3005"/>
    </w:tblGrid>
    <w:tr>
      <w:trPr>
        <w:trHeight w:val="300" w:hRule="atLeast"/>
      </w:trPr>
      <w:tc>
        <w:tcPr>
          <w:tcW w:w="3005" w:type="dxa"/>
          <w:tcBorders/>
        </w:tcPr>
        <w:p>
          <w:pPr>
            <w:pStyle w:val="style31"/>
            <w:ind w:left="-115"/>
            <w:rPr/>
          </w:pPr>
        </w:p>
      </w:tc>
      <w:tc>
        <w:tcPr>
          <w:tcW w:w="3005" w:type="dxa"/>
          <w:tcBorders/>
        </w:tcPr>
        <w:p>
          <w:pPr>
            <w:pStyle w:val="style31"/>
            <w:jc w:val="center"/>
            <w:rPr/>
          </w:pPr>
        </w:p>
      </w:tc>
      <w:tc>
        <w:tcPr>
          <w:tcW w:w="3005" w:type="dxa"/>
          <w:tcBorders/>
        </w:tcPr>
        <w:p>
          <w:pPr>
            <w:pStyle w:val="style31"/>
            <w:ind w:right="-115"/>
            <w:jc w:val="right"/>
            <w:rPr/>
          </w:pPr>
        </w:p>
      </w:tc>
    </w:tr>
  </w:tbl>
  <w:p>
    <w:pPr>
      <w:pStyle w:val="style31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A9A8373A"/>
    <w:lvl w:ilvl="0" w:tplc="7AAEEBE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2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SimSun" w:hAnsi="Times New Roman"/>
        <w:lang w:val="ru-RU" w:bidi="ar-SA" w:eastAsia="ru-RU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160" w:lineRule="auto" w:line="279"/>
    </w:pPr>
    <w:rPr>
      <w:rFonts w:ascii="Aptos" w:cs="宋体" w:eastAsia="Aptos" w:hAnsi="Aptos"/>
      <w:sz w:val="24"/>
      <w:szCs w:val="24"/>
      <w:lang w:eastAsia="en-US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5">
    <w:name w:val="Hyperlink"/>
    <w:basedOn w:val="style65"/>
    <w:next w:val="style85"/>
    <w:uiPriority w:val="99"/>
    <w:rPr>
      <w:color w:val="467886"/>
      <w:u w:val="single"/>
    </w:rPr>
  </w:style>
  <w:style w:type="character" w:styleId="style87">
    <w:name w:val="Strong"/>
    <w:basedOn w:val="style65"/>
    <w:next w:val="style87"/>
    <w:qFormat/>
    <w:uiPriority w:val="22"/>
    <w:rPr>
      <w:b/>
      <w:bCs/>
    </w:rPr>
  </w:style>
  <w:style w:type="paragraph" w:styleId="style31">
    <w:name w:val="header"/>
    <w:basedOn w:val="style0"/>
    <w:next w:val="style31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table" w:styleId="style154">
    <w:name w:val="Table Grid"/>
    <w:basedOn w:val="style105"/>
    <w:next w:val="style154"/>
    <w:uiPriority w:val="59"/>
    <w:pPr/>
    <w:rPr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tcBorders/>
    </w:tcPr>
  </w:style>
  <w:style w:type="paragraph" w:styleId="style179">
    <w:name w:val="List Paragraph"/>
    <w:basedOn w:val="style0"/>
    <w:next w:val="style179"/>
    <w:uiPriority w:val="99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footer" Target="footer2.xml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Words>437</Words>
  <Pages>1</Pages>
  <Characters>2688</Characters>
  <Application>WPS Office</Application>
  <DocSecurity>0</DocSecurity>
  <Paragraphs>23</Paragraphs>
  <ScaleCrop>false</ScaleCrop>
  <LinksUpToDate>false</LinksUpToDate>
  <CharactersWithSpaces>3118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2026-03-07T20:07:00Z</dcterms:created>
  <dc:creator>Артем Кабардиади</dc:creator>
  <lastModifiedBy>Redmi Note 8T</lastModifiedBy>
  <dcterms:modified xsi:type="dcterms:W3CDTF">2026-03-07T22:07:54Z</dcterms:modified>
  <revision>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84df0749f86b4a0ba26b8bdf642b44fd</vt:lpwstr>
  </property>
</Properties>
</file>