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AEE557C" w:rsidR="00130241" w:rsidRDefault="00713E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13E5B">
        <w:rPr>
          <w:b/>
          <w:color w:val="000000"/>
        </w:rPr>
        <w:t>Генера</w:t>
      </w:r>
      <w:r>
        <w:rPr>
          <w:b/>
          <w:color w:val="000000"/>
        </w:rPr>
        <w:t>тивный дизайн</w:t>
      </w:r>
      <w:r w:rsidRPr="00713E5B">
        <w:rPr>
          <w:b/>
          <w:color w:val="000000"/>
        </w:rPr>
        <w:t xml:space="preserve"> антиокислительных присадок для смазочных масел методами машинного обучения</w:t>
      </w:r>
    </w:p>
    <w:p w14:paraId="00000002" w14:textId="176C8EA3" w:rsidR="00130241" w:rsidRPr="00016B1C" w:rsidRDefault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Дещеня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Кондратюк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016B1C">
        <w:rPr>
          <w:b/>
          <w:i/>
          <w:color w:val="000000"/>
          <w:vertAlign w:val="superscript"/>
        </w:rPr>
        <w:t>,3</w:t>
      </w:r>
    </w:p>
    <w:p w14:paraId="00000003" w14:textId="648DECC5" w:rsidR="00130241" w:rsidRDefault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</w:t>
      </w:r>
    </w:p>
    <w:p w14:paraId="00000005" w14:textId="659AC9E5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016B1C" w:rsidRPr="00016B1C">
        <w:rPr>
          <w:i/>
          <w:color w:val="000000"/>
        </w:rPr>
        <w:t>Московский физико-технический институт (национальный исследовательский университет)</w:t>
      </w:r>
      <w:r>
        <w:rPr>
          <w:i/>
          <w:color w:val="000000"/>
        </w:rPr>
        <w:t xml:space="preserve">, </w:t>
      </w:r>
      <w:r w:rsidR="00016B1C">
        <w:rPr>
          <w:i/>
          <w:color w:val="000000"/>
        </w:rPr>
        <w:t>Долгопрудный</w:t>
      </w:r>
      <w:r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5DE84136" w14:textId="7623C4CA" w:rsidR="00016B1C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016B1C" w:rsidRPr="00016B1C">
        <w:rPr>
          <w:i/>
          <w:color w:val="000000"/>
        </w:rPr>
        <w:t>Объединённый институт высоких температур РАН</w:t>
      </w:r>
      <w:r w:rsidR="00016B1C">
        <w:rPr>
          <w:i/>
          <w:color w:val="000000"/>
        </w:rPr>
        <w:t>, 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7" w14:textId="6FC7D191" w:rsidR="00130241" w:rsidRPr="00A119AF" w:rsidRDefault="00A119AF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="00016B1C" w:rsidRPr="00016B1C">
        <w:rPr>
          <w:i/>
          <w:color w:val="000000"/>
        </w:rPr>
        <w:t>Национальный исследовательский университет «Высшая школа экономики»</w:t>
      </w:r>
      <w:r w:rsidR="00016B1C" w:rsidRPr="002B1CD0">
        <w:rPr>
          <w:i/>
          <w:color w:val="000000"/>
        </w:rPr>
        <w:t xml:space="preserve">, </w:t>
      </w:r>
      <w:r w:rsidR="00016B1C">
        <w:rPr>
          <w:i/>
          <w:color w:val="000000"/>
        </w:rPr>
        <w:t>Москва</w:t>
      </w:r>
      <w:r w:rsidR="00016B1C" w:rsidRPr="002B1CD0">
        <w:rPr>
          <w:i/>
          <w:color w:val="000000"/>
        </w:rPr>
        <w:t>, Россия</w:t>
      </w:r>
    </w:p>
    <w:p w14:paraId="00000008" w14:textId="0368253C" w:rsidR="00130241" w:rsidRPr="00016B1C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16B1C">
        <w:rPr>
          <w:i/>
          <w:color w:val="000000"/>
          <w:lang w:val="en-US"/>
        </w:rPr>
        <w:t>E</w:t>
      </w:r>
      <w:r w:rsidR="003B76D6" w:rsidRPr="00016B1C">
        <w:rPr>
          <w:i/>
          <w:color w:val="000000"/>
          <w:lang w:val="en-US"/>
        </w:rPr>
        <w:t>-</w:t>
      </w:r>
      <w:r w:rsidRPr="00016B1C">
        <w:rPr>
          <w:i/>
          <w:color w:val="000000"/>
          <w:lang w:val="en-US"/>
        </w:rPr>
        <w:t xml:space="preserve">mail: </w:t>
      </w:r>
      <w:r w:rsidR="00016B1C" w:rsidRPr="00016B1C">
        <w:rPr>
          <w:i/>
          <w:color w:val="000000"/>
          <w:u w:val="single"/>
          <w:lang w:val="en-US"/>
        </w:rPr>
        <w:t>deshchenia.vi@phystech.edu</w:t>
      </w:r>
    </w:p>
    <w:p w14:paraId="1AB03824" w14:textId="77777777" w:rsidR="00713E5B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 w:rsidRPr="00713E5B">
        <w:rPr>
          <w:color w:val="000000"/>
        </w:rPr>
        <w:t xml:space="preserve">В докладе рассматриваются основные подходы к решению задачи молекулярного дизайна перспективных антиокислительных присадок для смазочных масел с применением современных вычислительных методов. Особый акцент сделан на практических результатах и демонстрации работоспособности предложенных решений в рамках тематического хакатона «Нефтекод-2025», проведённого Университетом ИТМО совместно с компанией «Газпромнефть – смазочные материалы». Участникам хакатона предлагалось создать генеративную модель, способную предлагать структуры ароматических аминов и фенолов с высоким индукционным временем окисления. </w:t>
      </w:r>
    </w:p>
    <w:p w14:paraId="5528FF93" w14:textId="662B9D3D" w:rsidR="00713E5B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3E5B">
        <w:rPr>
          <w:color w:val="000000"/>
        </w:rPr>
        <w:t xml:space="preserve">Центральным элементом разработанного решения стала интерпретируемая метрика BDE </w:t>
      </w:r>
      <w:proofErr w:type="spellStart"/>
      <w:r w:rsidRPr="00713E5B">
        <w:rPr>
          <w:color w:val="000000"/>
        </w:rPr>
        <w:t>Score</w:t>
      </w:r>
      <w:proofErr w:type="spellEnd"/>
      <w:r w:rsidRPr="00713E5B">
        <w:rPr>
          <w:color w:val="000000"/>
        </w:rPr>
        <w:t>, характеризующая энергию диссоциации O/N–H связей в молекуле. Её расчёт выполнялся с привлечением квантово-химических методов (</w:t>
      </w:r>
      <w:proofErr w:type="spellStart"/>
      <w:r w:rsidRPr="00713E5B">
        <w:rPr>
          <w:color w:val="000000"/>
        </w:rPr>
        <w:t>xTB</w:t>
      </w:r>
      <w:proofErr w:type="spellEnd"/>
      <w:r w:rsidRPr="00713E5B">
        <w:rPr>
          <w:color w:val="000000"/>
        </w:rPr>
        <w:t>)</w:t>
      </w:r>
      <w:r>
        <w:rPr>
          <w:color w:val="000000"/>
        </w:rPr>
        <w:t> </w:t>
      </w:r>
      <w:r w:rsidRPr="00713E5B">
        <w:rPr>
          <w:color w:val="000000"/>
        </w:rPr>
        <w:t>[1] и методов машинного обучения</w:t>
      </w:r>
      <w:r>
        <w:rPr>
          <w:color w:val="000000"/>
        </w:rPr>
        <w:t> </w:t>
      </w:r>
      <w:r w:rsidRPr="00713E5B">
        <w:rPr>
          <w:color w:val="000000"/>
        </w:rPr>
        <w:t xml:space="preserve">[2]. Метрика показала высокую корреляцию с экспериментально измеренным индукционным временем окисления, что позволило построить предсказательную модель для оценки эффективности соединений. </w:t>
      </w:r>
    </w:p>
    <w:p w14:paraId="7A27DFD0" w14:textId="0BAF5BD1" w:rsidR="00713E5B" w:rsidRPr="00713E5B" w:rsidRDefault="00713E5B" w:rsidP="00CA310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13E5B">
        <w:rPr>
          <w:color w:val="000000"/>
        </w:rPr>
        <w:t>Синтез молекулярных структур проводился с использованием открытого фреймворка REINVENT4</w:t>
      </w:r>
      <w:r>
        <w:rPr>
          <w:color w:val="000000"/>
          <w:lang w:val="en-US"/>
        </w:rPr>
        <w:t> </w:t>
      </w:r>
      <w:r w:rsidRPr="00713E5B">
        <w:rPr>
          <w:color w:val="000000"/>
        </w:rPr>
        <w:t xml:space="preserve">[3], в основе которого лежат генеративные модели на рекуррентных нейронных сетях и алгоритмы обучения с подкреплением. Функция награды, управляющая процессом генерации, включала взвешенную комбинацию BDE </w:t>
      </w:r>
      <w:proofErr w:type="spellStart"/>
      <w:r w:rsidRPr="00713E5B">
        <w:rPr>
          <w:color w:val="000000"/>
        </w:rPr>
        <w:t>Score</w:t>
      </w:r>
      <w:proofErr w:type="spellEnd"/>
      <w:r w:rsidRPr="00713E5B">
        <w:rPr>
          <w:color w:val="000000"/>
        </w:rPr>
        <w:t xml:space="preserve">, прогнозируемого индукционного времени окисления и оценки синтетической доступности (SA </w:t>
      </w:r>
      <w:proofErr w:type="spellStart"/>
      <w:r w:rsidRPr="00713E5B">
        <w:rPr>
          <w:color w:val="000000"/>
        </w:rPr>
        <w:t>Score</w:t>
      </w:r>
      <w:proofErr w:type="spellEnd"/>
      <w:r>
        <w:rPr>
          <w:color w:val="000000"/>
          <w:lang w:val="en-US"/>
        </w:rPr>
        <w:t> </w:t>
      </w:r>
      <w:r w:rsidRPr="00713E5B">
        <w:rPr>
          <w:color w:val="000000"/>
        </w:rPr>
        <w:t xml:space="preserve">[4]). Проверка реализуемости предложенных соединений осуществлялась с помощью инструмента </w:t>
      </w:r>
      <w:proofErr w:type="spellStart"/>
      <w:r w:rsidRPr="00713E5B">
        <w:rPr>
          <w:color w:val="000000"/>
        </w:rPr>
        <w:t>ретросинтетического</w:t>
      </w:r>
      <w:proofErr w:type="spellEnd"/>
      <w:r w:rsidRPr="00713E5B">
        <w:rPr>
          <w:color w:val="000000"/>
        </w:rPr>
        <w:t xml:space="preserve"> анализа </w:t>
      </w:r>
      <w:proofErr w:type="spellStart"/>
      <w:r w:rsidRPr="00713E5B">
        <w:rPr>
          <w:color w:val="000000"/>
        </w:rPr>
        <w:t>AiZynthFinder</w:t>
      </w:r>
      <w:proofErr w:type="spellEnd"/>
      <w:r>
        <w:rPr>
          <w:color w:val="000000"/>
          <w:lang w:val="en-US"/>
        </w:rPr>
        <w:t> </w:t>
      </w:r>
      <w:r w:rsidRPr="00713E5B">
        <w:rPr>
          <w:color w:val="000000"/>
        </w:rPr>
        <w:t>[5], подтвердившего возможность их получения в условиях промышленного синтеза.</w:t>
      </w:r>
    </w:p>
    <w:p w14:paraId="26573A37" w14:textId="77777777" w:rsidR="00016B1C" w:rsidRPr="00CA310E" w:rsidRDefault="00016B1C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016B1C">
        <w:rPr>
          <w:i/>
          <w:iCs/>
          <w:color w:val="000000"/>
        </w:rPr>
        <w:t xml:space="preserve">Работа по выбору дескрипторов для представления молекул выполнена при поддержке Программы Министерства науки и высшего образования №075-03-2026-305 от 16.01.2026 г. </w:t>
      </w:r>
    </w:p>
    <w:bookmarkEnd w:id="0"/>
    <w:p w14:paraId="0000000E" w14:textId="77777777" w:rsidR="00130241" w:rsidRPr="00A119A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BB854DA" w14:textId="245C4441" w:rsidR="00016B1C" w:rsidRPr="00016B1C" w:rsidRDefault="00016B1C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16B1C">
        <w:rPr>
          <w:color w:val="000000"/>
          <w:lang w:val="en-US"/>
        </w:rPr>
        <w:t xml:space="preserve">1. </w:t>
      </w:r>
      <w:proofErr w:type="spellStart"/>
      <w:r w:rsidRPr="00016B1C">
        <w:rPr>
          <w:color w:val="000000"/>
          <w:lang w:val="en-US"/>
        </w:rPr>
        <w:t>Bannwarth</w:t>
      </w:r>
      <w:proofErr w:type="spellEnd"/>
      <w:r w:rsidRPr="00016B1C">
        <w:rPr>
          <w:color w:val="000000"/>
          <w:lang w:val="en-US"/>
        </w:rPr>
        <w:t xml:space="preserve"> C., Ehlert S., Grimme S. GFN2-xTB—An Accurate and Broadly Parametrized Self-Consistent Tight-Binding Quantum Chemical Method with Multipole Electrostatics and Density-Dependent Dispersion Contributions // J. Chem. Theory </w:t>
      </w:r>
      <w:proofErr w:type="spellStart"/>
      <w:r w:rsidRPr="00016B1C">
        <w:rPr>
          <w:color w:val="000000"/>
          <w:lang w:val="en-US"/>
        </w:rPr>
        <w:t>Comput</w:t>
      </w:r>
      <w:proofErr w:type="spellEnd"/>
      <w:r w:rsidRPr="00016B1C">
        <w:rPr>
          <w:color w:val="000000"/>
          <w:lang w:val="en-US"/>
        </w:rPr>
        <w:t>. 2019. V. 15(3). P. 1652–1671.</w:t>
      </w:r>
    </w:p>
    <w:p w14:paraId="74947319" w14:textId="59C4FEA6" w:rsidR="00016B1C" w:rsidRPr="00016B1C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3E5B">
        <w:rPr>
          <w:color w:val="000000"/>
          <w:lang w:val="en-US"/>
        </w:rPr>
        <w:t>2</w:t>
      </w:r>
      <w:r w:rsidR="00016B1C" w:rsidRPr="00016B1C">
        <w:rPr>
          <w:color w:val="000000"/>
          <w:lang w:val="en-US"/>
        </w:rPr>
        <w:t>. Shree Sowndarya S. V. et al. Expansion of bond dissociation prediction with machine learning to medicinally and environmentally relevant chemical space // Digital Discovery. 2023. V. 2(6). P. 1900-1910.</w:t>
      </w:r>
    </w:p>
    <w:p w14:paraId="7E1087A1" w14:textId="097179B5" w:rsidR="00016B1C" w:rsidRPr="00016B1C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3E5B">
        <w:rPr>
          <w:color w:val="000000"/>
          <w:lang w:val="en-US"/>
        </w:rPr>
        <w:t>3</w:t>
      </w:r>
      <w:r w:rsidR="00016B1C" w:rsidRPr="00016B1C">
        <w:rPr>
          <w:color w:val="000000"/>
          <w:lang w:val="en-US"/>
        </w:rPr>
        <w:t xml:space="preserve">. Loeffler H. H. et al. Reinvent 4: Modern AI–driven generative molecule design // J. </w:t>
      </w:r>
      <w:proofErr w:type="spellStart"/>
      <w:r w:rsidR="00016B1C" w:rsidRPr="00016B1C">
        <w:rPr>
          <w:color w:val="000000"/>
          <w:lang w:val="en-US"/>
        </w:rPr>
        <w:t>Cheminform</w:t>
      </w:r>
      <w:proofErr w:type="spellEnd"/>
      <w:r w:rsidR="00016B1C" w:rsidRPr="00016B1C">
        <w:rPr>
          <w:color w:val="000000"/>
          <w:lang w:val="en-US"/>
        </w:rPr>
        <w:t>. 2024. V. 16: 20.</w:t>
      </w:r>
    </w:p>
    <w:p w14:paraId="5B302DF0" w14:textId="6B3F6535" w:rsidR="00016B1C" w:rsidRPr="00016B1C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13E5B">
        <w:rPr>
          <w:color w:val="000000"/>
          <w:lang w:val="en-US"/>
        </w:rPr>
        <w:t>4</w:t>
      </w:r>
      <w:r w:rsidR="00016B1C" w:rsidRPr="00016B1C">
        <w:rPr>
          <w:color w:val="000000"/>
          <w:lang w:val="en-US"/>
        </w:rPr>
        <w:t xml:space="preserve">. Ertl P., </w:t>
      </w:r>
      <w:proofErr w:type="spellStart"/>
      <w:r w:rsidR="00016B1C" w:rsidRPr="00016B1C">
        <w:rPr>
          <w:color w:val="000000"/>
          <w:lang w:val="en-US"/>
        </w:rPr>
        <w:t>Schuffenhauer</w:t>
      </w:r>
      <w:proofErr w:type="spellEnd"/>
      <w:r w:rsidR="00016B1C" w:rsidRPr="00016B1C">
        <w:rPr>
          <w:color w:val="000000"/>
          <w:lang w:val="en-US"/>
        </w:rPr>
        <w:t xml:space="preserve"> A. Estimation of synthetic accessibility score of drug-like molecules based on molecular complexity and fragment contributions // J. </w:t>
      </w:r>
      <w:proofErr w:type="spellStart"/>
      <w:r w:rsidR="00016B1C" w:rsidRPr="00016B1C">
        <w:rPr>
          <w:color w:val="000000"/>
          <w:lang w:val="en-US"/>
        </w:rPr>
        <w:t>Cheminform</w:t>
      </w:r>
      <w:proofErr w:type="spellEnd"/>
      <w:r w:rsidR="00016B1C" w:rsidRPr="00016B1C">
        <w:rPr>
          <w:color w:val="000000"/>
          <w:lang w:val="en-US"/>
        </w:rPr>
        <w:t xml:space="preserve">. 2009. V. 1: 8. </w:t>
      </w:r>
    </w:p>
    <w:p w14:paraId="3486C755" w14:textId="5AA82175" w:rsidR="00116478" w:rsidRPr="00107AA3" w:rsidRDefault="00713E5B" w:rsidP="00016B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8345B">
        <w:rPr>
          <w:color w:val="000000"/>
          <w:lang w:val="en-US"/>
        </w:rPr>
        <w:t>5</w:t>
      </w:r>
      <w:r w:rsidR="00016B1C" w:rsidRPr="00016B1C">
        <w:rPr>
          <w:color w:val="000000"/>
          <w:lang w:val="en-US"/>
        </w:rPr>
        <w:t xml:space="preserve">. </w:t>
      </w:r>
      <w:proofErr w:type="spellStart"/>
      <w:r w:rsidR="00016B1C" w:rsidRPr="00016B1C">
        <w:rPr>
          <w:color w:val="000000"/>
          <w:lang w:val="en-US"/>
        </w:rPr>
        <w:t>Genheden</w:t>
      </w:r>
      <w:proofErr w:type="spellEnd"/>
      <w:r w:rsidR="00016B1C" w:rsidRPr="00016B1C">
        <w:rPr>
          <w:color w:val="000000"/>
          <w:lang w:val="en-US"/>
        </w:rPr>
        <w:t xml:space="preserve"> S. et al. </w:t>
      </w:r>
      <w:proofErr w:type="spellStart"/>
      <w:r w:rsidR="00016B1C" w:rsidRPr="00016B1C">
        <w:rPr>
          <w:color w:val="000000"/>
          <w:lang w:val="en-US"/>
        </w:rPr>
        <w:t>AiZynthFinder</w:t>
      </w:r>
      <w:proofErr w:type="spellEnd"/>
      <w:r w:rsidR="00016B1C" w:rsidRPr="00016B1C">
        <w:rPr>
          <w:color w:val="000000"/>
          <w:lang w:val="en-US"/>
        </w:rPr>
        <w:t xml:space="preserve">: a fast, robust and flexible open-source software for retrosynthetic planning // J. </w:t>
      </w:r>
      <w:proofErr w:type="spellStart"/>
      <w:r w:rsidR="00016B1C" w:rsidRPr="00016B1C">
        <w:rPr>
          <w:color w:val="000000"/>
          <w:lang w:val="en-US"/>
        </w:rPr>
        <w:t>Cheminform</w:t>
      </w:r>
      <w:proofErr w:type="spellEnd"/>
      <w:r w:rsidR="00016B1C" w:rsidRPr="00016B1C">
        <w:rPr>
          <w:color w:val="000000"/>
          <w:lang w:val="en-US"/>
        </w:rPr>
        <w:t xml:space="preserve">. 2020. </w:t>
      </w:r>
      <w:r w:rsidR="00016B1C" w:rsidRPr="00016B1C">
        <w:rPr>
          <w:color w:val="000000"/>
        </w:rPr>
        <w:t>V. 12: 70.</w:t>
      </w:r>
    </w:p>
    <w:sectPr w:rsidR="00116478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B1C"/>
    <w:rsid w:val="00063966"/>
    <w:rsid w:val="00075D6E"/>
    <w:rsid w:val="00077475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930"/>
    <w:rsid w:val="00373E2D"/>
    <w:rsid w:val="0038345B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F7A19"/>
    <w:rsid w:val="00705378"/>
    <w:rsid w:val="00713E5B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19AF"/>
    <w:rsid w:val="00A314FE"/>
    <w:rsid w:val="00AA1D62"/>
    <w:rsid w:val="00AD7380"/>
    <w:rsid w:val="00BF36F8"/>
    <w:rsid w:val="00BF4622"/>
    <w:rsid w:val="00C36346"/>
    <w:rsid w:val="00C844E2"/>
    <w:rsid w:val="00CA310E"/>
    <w:rsid w:val="00CD00B1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Владимир Дещеня</cp:lastModifiedBy>
  <cp:revision>8</cp:revision>
  <cp:lastPrinted>2026-01-28T14:24:00Z</cp:lastPrinted>
  <dcterms:created xsi:type="dcterms:W3CDTF">2026-01-28T14:24:00Z</dcterms:created>
  <dcterms:modified xsi:type="dcterms:W3CDTF">2026-03-07T11:03:00Z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