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258534" w:rsidR="00130241" w:rsidRPr="00710EB3" w:rsidRDefault="00710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Применение химических языковых моделей для прогнозирования синтетической доступности новых функциональных материалов</w:t>
      </w:r>
    </w:p>
    <w:p w14:paraId="00000002" w14:textId="33729266" w:rsidR="00130241" w:rsidRDefault="00CF6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6D82">
        <w:rPr>
          <w:b/>
          <w:i/>
          <w:color w:val="000000"/>
        </w:rPr>
        <w:t>Рубцов И.Д.</w:t>
      </w:r>
      <w:r w:rsidRPr="00CF6D82">
        <w:rPr>
          <w:b/>
          <w:i/>
          <w:color w:val="000000"/>
          <w:vertAlign w:val="superscript"/>
        </w:rPr>
        <w:t>1</w:t>
      </w:r>
      <w:r w:rsidR="00776E54">
        <w:rPr>
          <w:b/>
          <w:i/>
          <w:color w:val="000000"/>
          <w:vertAlign w:val="superscript"/>
        </w:rPr>
        <w:t>,2</w:t>
      </w:r>
    </w:p>
    <w:p w14:paraId="00000003" w14:textId="4AB4D4E4" w:rsidR="00130241" w:rsidRDefault="00710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Младший научный сотрудник, аспирант 2 г.о.</w:t>
      </w:r>
    </w:p>
    <w:p w14:paraId="2FC97D9D" w14:textId="6BE41FB6" w:rsidR="00710EB3" w:rsidRDefault="00710EB3" w:rsidP="00710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710EB3">
        <w:rPr>
          <w:i/>
          <w:iCs/>
          <w:color w:val="000000"/>
          <w:vertAlign w:val="superscript"/>
        </w:rPr>
        <w:t>1</w:t>
      </w:r>
      <w:r w:rsidRPr="00710EB3">
        <w:rPr>
          <w:i/>
          <w:iCs/>
          <w:color w:val="000000"/>
        </w:rPr>
        <w:t>Институт перспективных исследований проблем искусственного интеллекта и интеллектуальных систем МГУ имени М.</w:t>
      </w:r>
      <w:r>
        <w:rPr>
          <w:i/>
          <w:iCs/>
          <w:color w:val="000000"/>
        </w:rPr>
        <w:t xml:space="preserve"> </w:t>
      </w:r>
      <w:r w:rsidRPr="00710EB3">
        <w:rPr>
          <w:i/>
          <w:iCs/>
          <w:color w:val="000000"/>
        </w:rPr>
        <w:t>В. Ломоносова, Москва</w:t>
      </w:r>
    </w:p>
    <w:p w14:paraId="4D59B564" w14:textId="52A8BC2B" w:rsidR="00776E54" w:rsidRPr="00776E54" w:rsidRDefault="00776E54" w:rsidP="00776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6E0533">
        <w:rPr>
          <w:i/>
          <w:iCs/>
        </w:rPr>
        <w:t>Химический факультет,</w:t>
      </w:r>
      <w:r w:rsidRPr="0025586C">
        <w:rPr>
          <w:i/>
        </w:rPr>
        <w:t xml:space="preserve"> </w:t>
      </w:r>
      <w:r w:rsidRPr="00CF6D82">
        <w:rPr>
          <w:i/>
          <w:color w:val="000000"/>
        </w:rPr>
        <w:t>Московский государственный университет имени М. В. Ломоносова, Москва, Ленинские горы 1</w:t>
      </w:r>
    </w:p>
    <w:p w14:paraId="00000008" w14:textId="48F8E687" w:rsidR="00130241" w:rsidRPr="002F7BB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fr-FR"/>
        </w:rPr>
      </w:pPr>
      <w:r w:rsidRPr="002F7BBA">
        <w:rPr>
          <w:i/>
          <w:color w:val="000000"/>
          <w:lang w:val="fr-FR"/>
        </w:rPr>
        <w:t>E</w:t>
      </w:r>
      <w:r w:rsidR="003B76D6" w:rsidRPr="002F7BBA">
        <w:rPr>
          <w:i/>
          <w:color w:val="000000"/>
          <w:lang w:val="fr-FR"/>
        </w:rPr>
        <w:t>-</w:t>
      </w:r>
      <w:r w:rsidRPr="002F7BBA">
        <w:rPr>
          <w:i/>
          <w:color w:val="000000"/>
          <w:lang w:val="fr-FR"/>
        </w:rPr>
        <w:t xml:space="preserve">mail: </w:t>
      </w:r>
      <w:r w:rsidR="00CF6D82" w:rsidRPr="002F7BBA">
        <w:rPr>
          <w:i/>
          <w:color w:val="000000"/>
          <w:u w:val="single"/>
          <w:lang w:val="fr-FR"/>
        </w:rPr>
        <w:t>rub</w:t>
      </w:r>
      <w:r w:rsidR="00710EB3" w:rsidRPr="002F7BBA">
        <w:rPr>
          <w:i/>
          <w:color w:val="000000"/>
          <w:u w:val="single"/>
          <w:lang w:val="fr-FR"/>
        </w:rPr>
        <w:t>covid@my.msu.ru</w:t>
      </w:r>
    </w:p>
    <w:p w14:paraId="6899D474" w14:textId="57E7CF29" w:rsidR="009A05C3" w:rsidRDefault="00AD7DDF" w:rsidP="00AD5C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AD7DDF">
        <w:rPr>
          <w:color w:val="000000"/>
        </w:rPr>
        <w:t xml:space="preserve">Открытие </w:t>
      </w:r>
      <w:r>
        <w:rPr>
          <w:color w:val="000000"/>
        </w:rPr>
        <w:t xml:space="preserve">новых функциональных </w:t>
      </w:r>
      <w:r w:rsidRPr="00AD7DDF">
        <w:rPr>
          <w:color w:val="000000"/>
        </w:rPr>
        <w:t>материалов способствует прогрессу во многих технологических дисциплинах</w:t>
      </w:r>
      <w:r w:rsidR="009A05C3">
        <w:rPr>
          <w:color w:val="000000"/>
        </w:rPr>
        <w:t xml:space="preserve">, поэтому актуальной является задача определения синтетической доступности химических веществ в процессе скрининга перспективных </w:t>
      </w:r>
      <w:r w:rsidR="00AD5C36">
        <w:rPr>
          <w:color w:val="000000"/>
        </w:rPr>
        <w:t>составов</w:t>
      </w:r>
      <w:r w:rsidR="009A05C3">
        <w:rPr>
          <w:color w:val="000000"/>
        </w:rPr>
        <w:t xml:space="preserve">. </w:t>
      </w:r>
      <w:r>
        <w:rPr>
          <w:color w:val="000000"/>
        </w:rPr>
        <w:t>Однако</w:t>
      </w:r>
      <w:r w:rsidRPr="00AD7DDF">
        <w:rPr>
          <w:color w:val="000000"/>
        </w:rPr>
        <w:t xml:space="preserve"> </w:t>
      </w:r>
      <w:r>
        <w:rPr>
          <w:color w:val="000000"/>
        </w:rPr>
        <w:t>исторические</w:t>
      </w:r>
      <w:r w:rsidRPr="00AD7DDF">
        <w:rPr>
          <w:color w:val="000000"/>
        </w:rPr>
        <w:t xml:space="preserve"> </w:t>
      </w:r>
      <w:r>
        <w:rPr>
          <w:color w:val="000000"/>
        </w:rPr>
        <w:t xml:space="preserve">эвристические правила оценки синтезируемости материалов, такие как правила Полинга или электронейтральность, являются недостаточными для современных целей. Например, около половины синтезированных составов из базы данных </w:t>
      </w:r>
      <w:r>
        <w:rPr>
          <w:color w:val="000000"/>
          <w:lang w:val="en-US"/>
        </w:rPr>
        <w:t>Materials</w:t>
      </w:r>
      <w:r w:rsidRPr="00AD7DDF">
        <w:rPr>
          <w:color w:val="000000"/>
        </w:rPr>
        <w:t xml:space="preserve"> </w:t>
      </w:r>
      <w:r>
        <w:rPr>
          <w:color w:val="000000"/>
          <w:lang w:val="en-US"/>
        </w:rPr>
        <w:t>Project</w:t>
      </w:r>
      <w:r w:rsidR="00D2694B" w:rsidRPr="00D2694B">
        <w:rPr>
          <w:color w:val="000000"/>
        </w:rPr>
        <w:t xml:space="preserve"> [1]</w:t>
      </w:r>
      <w:r w:rsidRPr="00AD7DDF">
        <w:rPr>
          <w:color w:val="000000"/>
        </w:rPr>
        <w:t xml:space="preserve"> </w:t>
      </w:r>
      <w:r>
        <w:rPr>
          <w:color w:val="000000"/>
        </w:rPr>
        <w:t xml:space="preserve">не удовлетворяют таким критериям. </w:t>
      </w:r>
      <w:r w:rsidR="009A05C3">
        <w:rPr>
          <w:color w:val="000000"/>
        </w:rPr>
        <w:t>Условия термодинамической стабильности также не являются достаточными в силу возможности синтезировать кинетически устойчивые метастабильные структуры</w:t>
      </w:r>
      <w:r w:rsidR="00D2694B" w:rsidRPr="00D2694B">
        <w:rPr>
          <w:color w:val="000000"/>
        </w:rPr>
        <w:t xml:space="preserve"> [2]</w:t>
      </w:r>
      <w:r w:rsidR="009A05C3">
        <w:rPr>
          <w:color w:val="000000"/>
        </w:rPr>
        <w:t xml:space="preserve">. Таким образом целью работы является разработка алгоритмов машинного обучения в рамках </w:t>
      </w:r>
      <w:r w:rsidR="006D7570">
        <w:rPr>
          <w:color w:val="000000"/>
        </w:rPr>
        <w:t xml:space="preserve">прогнозированию синтетической доступности по химическому составу. </w:t>
      </w:r>
    </w:p>
    <w:p w14:paraId="6F942FD8" w14:textId="5168AA76" w:rsidR="006D7570" w:rsidRDefault="006D7570" w:rsidP="009A0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типу данных задача предсказания синтетической доступности является типичным случаем </w:t>
      </w:r>
      <w:r>
        <w:rPr>
          <w:color w:val="000000"/>
          <w:lang w:val="en-US"/>
        </w:rPr>
        <w:t>PU</w:t>
      </w:r>
      <w:r>
        <w:rPr>
          <w:color w:val="000000"/>
        </w:rPr>
        <w:t>-обучения (</w:t>
      </w:r>
      <w:r>
        <w:rPr>
          <w:color w:val="000000"/>
          <w:lang w:val="en-US"/>
        </w:rPr>
        <w:t>positive</w:t>
      </w:r>
      <w:r w:rsidRPr="006D7570">
        <w:rPr>
          <w:color w:val="000000"/>
        </w:rPr>
        <w:t>-</w:t>
      </w:r>
      <w:r>
        <w:rPr>
          <w:color w:val="000000"/>
          <w:lang w:val="en-US"/>
        </w:rPr>
        <w:t>unlabeled</w:t>
      </w:r>
      <w:r>
        <w:rPr>
          <w:color w:val="000000"/>
        </w:rPr>
        <w:t xml:space="preserve">). В качестве неразмеченных данных были взяты химические составы из </w:t>
      </w:r>
      <w:r>
        <w:rPr>
          <w:color w:val="000000"/>
          <w:lang w:val="en-US"/>
        </w:rPr>
        <w:t>Material</w:t>
      </w:r>
      <w:r w:rsidRPr="006D7570">
        <w:rPr>
          <w:color w:val="000000"/>
        </w:rPr>
        <w:t xml:space="preserve"> </w:t>
      </w:r>
      <w:r>
        <w:rPr>
          <w:color w:val="000000"/>
          <w:lang w:val="en-US"/>
        </w:rPr>
        <w:t>Project</w:t>
      </w:r>
      <w:r w:rsidR="006E0533">
        <w:rPr>
          <w:color w:val="000000"/>
        </w:rPr>
        <w:t>,</w:t>
      </w:r>
      <w:r w:rsidR="00CC1CDB">
        <w:rPr>
          <w:color w:val="000000"/>
        </w:rPr>
        <w:t xml:space="preserve"> при этом положительным примерам соответствуют материалы</w:t>
      </w:r>
      <w:r w:rsidR="006E0533">
        <w:rPr>
          <w:color w:val="000000"/>
        </w:rPr>
        <w:t>,</w:t>
      </w:r>
      <w:r w:rsidR="00CC1CDB">
        <w:rPr>
          <w:color w:val="000000"/>
        </w:rPr>
        <w:t xml:space="preserve"> присутствующие в синтетической базе </w:t>
      </w:r>
      <w:r w:rsidR="00CC1CDB">
        <w:rPr>
          <w:color w:val="000000"/>
          <w:lang w:val="en-US"/>
        </w:rPr>
        <w:t>ICSD</w:t>
      </w:r>
      <w:r w:rsidR="00CC1CDB" w:rsidRPr="00CC1CDB">
        <w:rPr>
          <w:color w:val="000000"/>
        </w:rPr>
        <w:t>.</w:t>
      </w:r>
      <w:r w:rsidR="00CC1CDB">
        <w:rPr>
          <w:color w:val="000000"/>
        </w:rPr>
        <w:t xml:space="preserve"> Для решения задачи были опробованы различные подходы </w:t>
      </w:r>
      <w:r w:rsidR="00CC1CDB">
        <w:rPr>
          <w:color w:val="000000"/>
          <w:lang w:val="en-US"/>
        </w:rPr>
        <w:t>PU</w:t>
      </w:r>
      <w:r w:rsidR="003C7918">
        <w:rPr>
          <w:color w:val="000000"/>
        </w:rPr>
        <w:t xml:space="preserve">: обучение с </w:t>
      </w:r>
      <w:r w:rsidR="003C7918">
        <w:rPr>
          <w:color w:val="000000"/>
          <w:lang w:val="en-US"/>
        </w:rPr>
        <w:t>PU</w:t>
      </w:r>
      <w:r w:rsidR="003C7918">
        <w:rPr>
          <w:color w:val="000000"/>
        </w:rPr>
        <w:t>-функцией потерь, взвешенное</w:t>
      </w:r>
      <w:r w:rsidR="0025586C">
        <w:rPr>
          <w:color w:val="000000"/>
        </w:rPr>
        <w:t xml:space="preserve"> (</w:t>
      </w:r>
      <w:r w:rsidR="0025586C">
        <w:rPr>
          <w:color w:val="000000"/>
          <w:lang w:val="en-US"/>
        </w:rPr>
        <w:t>biased</w:t>
      </w:r>
      <w:r w:rsidR="0025586C">
        <w:rPr>
          <w:color w:val="000000"/>
        </w:rPr>
        <w:t>)</w:t>
      </w:r>
      <w:r w:rsidR="003C7918">
        <w:rPr>
          <w:color w:val="000000"/>
        </w:rPr>
        <w:t xml:space="preserve"> обучение и двухстадийное</w:t>
      </w:r>
      <w:r w:rsidR="00880ED3">
        <w:rPr>
          <w:color w:val="000000"/>
        </w:rPr>
        <w:t xml:space="preserve"> </w:t>
      </w:r>
      <w:r w:rsidR="00880ED3" w:rsidRPr="0025586C">
        <w:rPr>
          <w:color w:val="000000"/>
        </w:rPr>
        <w:t>(</w:t>
      </w:r>
      <w:r w:rsidR="00880ED3">
        <w:rPr>
          <w:color w:val="000000"/>
          <w:lang w:val="en-US"/>
        </w:rPr>
        <w:t>two</w:t>
      </w:r>
      <w:r w:rsidR="00880ED3" w:rsidRPr="0025586C">
        <w:rPr>
          <w:color w:val="000000"/>
        </w:rPr>
        <w:t>-</w:t>
      </w:r>
      <w:r w:rsidR="00880ED3">
        <w:rPr>
          <w:color w:val="000000"/>
          <w:lang w:val="en-US"/>
        </w:rPr>
        <w:t>step</w:t>
      </w:r>
      <w:r w:rsidR="00880ED3" w:rsidRPr="0025586C">
        <w:rPr>
          <w:color w:val="000000"/>
        </w:rPr>
        <w:t>)</w:t>
      </w:r>
      <w:r w:rsidR="003C7918">
        <w:rPr>
          <w:color w:val="000000"/>
        </w:rPr>
        <w:t xml:space="preserve"> </w:t>
      </w:r>
      <w:r w:rsidR="003C7918">
        <w:rPr>
          <w:color w:val="000000"/>
          <w:lang w:val="en-US"/>
        </w:rPr>
        <w:t>PU</w:t>
      </w:r>
      <w:r w:rsidR="00880ED3">
        <w:rPr>
          <w:color w:val="000000"/>
        </w:rPr>
        <w:t xml:space="preserve"> </w:t>
      </w:r>
      <w:r w:rsidR="003C7918">
        <w:rPr>
          <w:color w:val="000000"/>
        </w:rPr>
        <w:t>обучение. Для представления пространства составов за основу был взят</w:t>
      </w:r>
      <w:r w:rsidR="003C7918" w:rsidRPr="003C7918">
        <w:rPr>
          <w:color w:val="000000"/>
        </w:rPr>
        <w:t xml:space="preserve"> </w:t>
      </w:r>
      <w:r w:rsidR="003C7918">
        <w:rPr>
          <w:color w:val="000000"/>
        </w:rPr>
        <w:t>предобученный на химических наборах дан</w:t>
      </w:r>
      <w:r w:rsidR="00F46042">
        <w:rPr>
          <w:color w:val="000000"/>
        </w:rPr>
        <w:t>н</w:t>
      </w:r>
      <w:r w:rsidR="003C7918">
        <w:rPr>
          <w:color w:val="000000"/>
        </w:rPr>
        <w:t xml:space="preserve">ых текстовый энкодер </w:t>
      </w:r>
      <w:r w:rsidR="006E0533">
        <w:rPr>
          <w:color w:val="000000"/>
          <w:lang w:val="en-US"/>
        </w:rPr>
        <w:t>ModernBERT</w:t>
      </w:r>
      <w:r w:rsidR="00880ED3">
        <w:rPr>
          <w:color w:val="000000"/>
        </w:rPr>
        <w:t xml:space="preserve"> </w:t>
      </w:r>
      <w:r w:rsidR="00D2694B" w:rsidRPr="00D2694B">
        <w:rPr>
          <w:color w:val="000000"/>
        </w:rPr>
        <w:t>[3]</w:t>
      </w:r>
      <w:r w:rsidR="003C7918">
        <w:rPr>
          <w:color w:val="000000"/>
        </w:rPr>
        <w:t>.</w:t>
      </w:r>
    </w:p>
    <w:p w14:paraId="37F03F6A" w14:textId="76F5D182" w:rsidR="003C7918" w:rsidRPr="006E0533" w:rsidRDefault="0007594B" w:rsidP="002F7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>Таб</w:t>
      </w:r>
      <w:r w:rsidR="009A60F1">
        <w:rPr>
          <w:color w:val="000000"/>
        </w:rPr>
        <w:t xml:space="preserve">лица </w:t>
      </w:r>
      <w:r>
        <w:rPr>
          <w:color w:val="000000"/>
        </w:rPr>
        <w:t xml:space="preserve">1 – Результаты обучения </w:t>
      </w:r>
      <w:r w:rsidR="008D67B8">
        <w:rPr>
          <w:color w:val="000000"/>
        </w:rPr>
        <w:t xml:space="preserve">алгоритмов </w:t>
      </w:r>
      <w:r w:rsidR="008D67B8">
        <w:rPr>
          <w:color w:val="000000"/>
          <w:lang w:val="en-US"/>
        </w:rPr>
        <w:t>PU</w:t>
      </w:r>
      <w:r w:rsidR="008D67B8" w:rsidRPr="008D67B8">
        <w:rPr>
          <w:color w:val="000000"/>
        </w:rPr>
        <w:t xml:space="preserve"> </w:t>
      </w:r>
      <w:r w:rsidR="008D67B8">
        <w:rPr>
          <w:color w:val="000000"/>
        </w:rPr>
        <w:t>в задаче синтетической доступности</w:t>
      </w:r>
      <w:r w:rsidR="002F7BBA">
        <w:rPr>
          <w:color w:val="000000"/>
        </w:rPr>
        <w:t xml:space="preserve"> (</w:t>
      </w:r>
      <w:r w:rsidR="002F7BBA">
        <w:rPr>
          <w:color w:val="000000"/>
          <w:lang w:val="en-US"/>
        </w:rPr>
        <w:t>recall</w:t>
      </w:r>
      <w:r w:rsidR="002F7BBA" w:rsidRPr="002F7BBA">
        <w:rPr>
          <w:color w:val="000000"/>
        </w:rPr>
        <w:t xml:space="preserve"> – </w:t>
      </w:r>
      <w:r w:rsidR="002F7BBA">
        <w:rPr>
          <w:color w:val="000000"/>
        </w:rPr>
        <w:t xml:space="preserve">доля правильно классифицированных положительных примеров, </w:t>
      </w:r>
      <w:r w:rsidR="002F7BBA">
        <w:rPr>
          <w:color w:val="000000"/>
          <w:lang w:val="en-US"/>
        </w:rPr>
        <w:t>ROC</w:t>
      </w:r>
      <w:r w:rsidR="002F7BBA" w:rsidRPr="002F7BBA">
        <w:rPr>
          <w:color w:val="000000"/>
        </w:rPr>
        <w:t xml:space="preserve"> </w:t>
      </w:r>
      <w:r w:rsidR="002F7BBA">
        <w:rPr>
          <w:color w:val="000000"/>
          <w:lang w:val="en-US"/>
        </w:rPr>
        <w:t>AUC</w:t>
      </w:r>
      <w:r w:rsidR="002F7BBA" w:rsidRPr="002F7BBA">
        <w:rPr>
          <w:color w:val="000000"/>
        </w:rPr>
        <w:t xml:space="preserve"> </w:t>
      </w:r>
      <w:r w:rsidR="002F7BBA">
        <w:rPr>
          <w:color w:val="000000"/>
        </w:rPr>
        <w:t>–</w:t>
      </w:r>
      <w:r w:rsidR="002F7BBA" w:rsidRPr="002F7BBA">
        <w:rPr>
          <w:color w:val="000000"/>
        </w:rPr>
        <w:t xml:space="preserve"> </w:t>
      </w:r>
      <w:r w:rsidR="002F7BBA">
        <w:rPr>
          <w:color w:val="000000"/>
        </w:rPr>
        <w:t xml:space="preserve">площадь под </w:t>
      </w:r>
      <w:r w:rsidR="002F7BBA">
        <w:rPr>
          <w:color w:val="000000"/>
          <w:lang w:val="en-US"/>
        </w:rPr>
        <w:t>ROC</w:t>
      </w:r>
      <w:r w:rsidR="002F7BBA" w:rsidRPr="002F7BBA">
        <w:rPr>
          <w:color w:val="000000"/>
        </w:rPr>
        <w:t>-</w:t>
      </w:r>
      <w:r w:rsidR="002F7BBA">
        <w:rPr>
          <w:color w:val="000000"/>
        </w:rPr>
        <w:t>кривой)</w:t>
      </w:r>
    </w:p>
    <w:tbl>
      <w:tblPr>
        <w:tblStyle w:val="ac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1417"/>
      </w:tblGrid>
      <w:tr w:rsidR="008E7297" w14:paraId="4EC52448" w14:textId="77777777" w:rsidTr="0007594B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1C1061B" w14:textId="5B517BAE" w:rsidR="008E7297" w:rsidRPr="0007594B" w:rsidRDefault="008E7297" w:rsidP="009A05C3">
            <w:pPr>
              <w:jc w:val="both"/>
              <w:rPr>
                <w:b/>
                <w:bCs/>
                <w:color w:val="000000"/>
              </w:rPr>
            </w:pPr>
            <w:r w:rsidRPr="0007594B">
              <w:rPr>
                <w:b/>
                <w:bCs/>
                <w:color w:val="000000"/>
              </w:rPr>
              <w:t>алгоритм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13E7BE" w14:textId="18D620EB" w:rsidR="008E7297" w:rsidRPr="0007594B" w:rsidRDefault="008E7297" w:rsidP="009A05C3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07594B">
              <w:rPr>
                <w:b/>
                <w:bCs/>
                <w:color w:val="000000"/>
                <w:lang w:val="en-US"/>
              </w:rPr>
              <w:t>recall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AE24C3" w14:textId="3A9AE02C" w:rsidR="008E7297" w:rsidRPr="0007594B" w:rsidRDefault="008E7297" w:rsidP="009A05C3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07594B">
              <w:rPr>
                <w:b/>
                <w:bCs/>
                <w:color w:val="000000"/>
                <w:lang w:val="en-US"/>
              </w:rPr>
              <w:t>ROC AUC</w:t>
            </w:r>
          </w:p>
        </w:tc>
      </w:tr>
      <w:tr w:rsidR="008E7297" w14:paraId="6A80D8D0" w14:textId="77777777" w:rsidTr="0007594B">
        <w:trPr>
          <w:jc w:val="center"/>
        </w:trPr>
        <w:tc>
          <w:tcPr>
            <w:tcW w:w="2977" w:type="dxa"/>
            <w:tcBorders>
              <w:top w:val="single" w:sz="4" w:space="0" w:color="auto"/>
            </w:tcBorders>
          </w:tcPr>
          <w:p w14:paraId="7C0DB705" w14:textId="57FA97DE" w:rsidR="008E7297" w:rsidRPr="008E7297" w:rsidRDefault="008E7297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Двухстадийный </w:t>
            </w:r>
            <w:r>
              <w:rPr>
                <w:color w:val="000000"/>
                <w:lang w:val="en-US"/>
              </w:rPr>
              <w:t>PU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3324FE" w14:textId="0C62991C" w:rsidR="008E7297" w:rsidRDefault="0007594B" w:rsidP="009A05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0.873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1EE697" w14:textId="078133EB" w:rsidR="008E7297" w:rsidRPr="0007594B" w:rsidRDefault="0007594B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0.908</w:t>
            </w:r>
          </w:p>
        </w:tc>
      </w:tr>
      <w:tr w:rsidR="008E7297" w14:paraId="11F8310D" w14:textId="77777777" w:rsidTr="0007594B">
        <w:trPr>
          <w:jc w:val="center"/>
        </w:trPr>
        <w:tc>
          <w:tcPr>
            <w:tcW w:w="2977" w:type="dxa"/>
          </w:tcPr>
          <w:p w14:paraId="6C0A98F9" w14:textId="5018E2DD" w:rsidR="008E7297" w:rsidRPr="008E7297" w:rsidRDefault="008E7297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Взвешенное обучение </w:t>
            </w:r>
            <w:r>
              <w:rPr>
                <w:color w:val="000000"/>
                <w:lang w:val="en-US"/>
              </w:rPr>
              <w:t>PU</w:t>
            </w:r>
          </w:p>
        </w:tc>
        <w:tc>
          <w:tcPr>
            <w:tcW w:w="1276" w:type="dxa"/>
          </w:tcPr>
          <w:p w14:paraId="6D9B7A7F" w14:textId="4A7FE17D" w:rsidR="008E7297" w:rsidRPr="0025586C" w:rsidRDefault="0007594B" w:rsidP="009A05C3">
            <w:pPr>
              <w:jc w:val="both"/>
              <w:rPr>
                <w:b/>
                <w:bCs/>
                <w:color w:val="000000"/>
              </w:rPr>
            </w:pPr>
            <w:r w:rsidRPr="0025586C">
              <w:rPr>
                <w:b/>
                <w:bCs/>
                <w:color w:val="000000"/>
              </w:rPr>
              <w:t>0.915</w:t>
            </w:r>
          </w:p>
        </w:tc>
        <w:tc>
          <w:tcPr>
            <w:tcW w:w="1417" w:type="dxa"/>
          </w:tcPr>
          <w:p w14:paraId="00B745AA" w14:textId="2465BC26" w:rsidR="008E7297" w:rsidRPr="0007594B" w:rsidRDefault="0007594B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0.919</w:t>
            </w:r>
          </w:p>
        </w:tc>
      </w:tr>
      <w:tr w:rsidR="008E7297" w14:paraId="4331FEC4" w14:textId="77777777" w:rsidTr="0007594B">
        <w:trPr>
          <w:jc w:val="center"/>
        </w:trPr>
        <w:tc>
          <w:tcPr>
            <w:tcW w:w="2977" w:type="dxa"/>
          </w:tcPr>
          <w:p w14:paraId="797E6C3A" w14:textId="50BF5E20" w:rsidR="008E7297" w:rsidRPr="0007594B" w:rsidRDefault="008E7297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PU</w:t>
            </w:r>
            <w:r w:rsidR="0007594B">
              <w:rPr>
                <w:color w:val="000000"/>
              </w:rPr>
              <w:t>-</w:t>
            </w:r>
            <w:r w:rsidR="0007594B">
              <w:rPr>
                <w:color w:val="000000"/>
                <w:lang w:val="en-US"/>
              </w:rPr>
              <w:t>loss</w:t>
            </w:r>
          </w:p>
        </w:tc>
        <w:tc>
          <w:tcPr>
            <w:tcW w:w="1276" w:type="dxa"/>
          </w:tcPr>
          <w:p w14:paraId="020AF4BB" w14:textId="6E2312D5" w:rsidR="008E7297" w:rsidRDefault="0007594B" w:rsidP="009A05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0.628</w:t>
            </w:r>
          </w:p>
        </w:tc>
        <w:tc>
          <w:tcPr>
            <w:tcW w:w="1417" w:type="dxa"/>
          </w:tcPr>
          <w:p w14:paraId="795B6B58" w14:textId="44B28C0A" w:rsidR="008E7297" w:rsidRPr="0007594B" w:rsidRDefault="0007594B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0.800</w:t>
            </w:r>
          </w:p>
        </w:tc>
      </w:tr>
      <w:tr w:rsidR="008E7297" w14:paraId="0FCF6B81" w14:textId="77777777" w:rsidTr="0007594B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5505A9" w14:textId="4FE98386" w:rsidR="008E7297" w:rsidRPr="00D2694B" w:rsidRDefault="002073F6" w:rsidP="009A05C3">
            <w:pPr>
              <w:jc w:val="both"/>
              <w:rPr>
                <w:color w:val="000000"/>
                <w:lang w:val="en-US"/>
              </w:rPr>
            </w:pPr>
            <w:r w:rsidRPr="002073F6">
              <w:rPr>
                <w:color w:val="000000"/>
              </w:rPr>
              <w:t>CGNF</w:t>
            </w:r>
            <w:r w:rsidRPr="002073F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PU </w:t>
            </w:r>
            <w:r w:rsidR="00D2694B">
              <w:rPr>
                <w:color w:val="000000"/>
                <w:lang w:val="en-US"/>
              </w:rPr>
              <w:t>[4]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C7014F" w14:textId="641B1CC7" w:rsidR="008E7297" w:rsidRPr="00D2694B" w:rsidRDefault="00D2694B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0.8</w:t>
            </w:r>
            <w:r w:rsidR="002073F6">
              <w:rPr>
                <w:color w:val="000000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89F02A" w14:textId="5B7C445E" w:rsidR="008E7297" w:rsidRPr="00D2694B" w:rsidRDefault="00D2694B" w:rsidP="009A05C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14:paraId="31CDBB89" w14:textId="07815B5E" w:rsidR="00CF6D82" w:rsidRPr="00F46042" w:rsidRDefault="00D2694B" w:rsidP="005E5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таблице 1 представлены результаты обучения и сравнение с моделями из литературы. Для взвешенного обучения </w:t>
      </w:r>
      <w:r>
        <w:rPr>
          <w:color w:val="000000"/>
          <w:lang w:val="en-US"/>
        </w:rPr>
        <w:t>PU</w:t>
      </w:r>
      <w:r w:rsidRPr="00D2694B">
        <w:rPr>
          <w:color w:val="000000"/>
        </w:rPr>
        <w:t xml:space="preserve"> </w:t>
      </w:r>
      <w:r>
        <w:rPr>
          <w:color w:val="000000"/>
        </w:rPr>
        <w:t xml:space="preserve">из тестового набора </w:t>
      </w:r>
      <w:r>
        <w:rPr>
          <w:color w:val="000000"/>
          <w:lang w:val="en-US"/>
        </w:rPr>
        <w:t>Materials</w:t>
      </w:r>
      <w:r w:rsidRPr="00D2694B">
        <w:rPr>
          <w:color w:val="000000"/>
        </w:rPr>
        <w:t xml:space="preserve"> </w:t>
      </w:r>
      <w:r>
        <w:rPr>
          <w:color w:val="000000"/>
          <w:lang w:val="en-US"/>
        </w:rPr>
        <w:t>Project</w:t>
      </w:r>
      <w:r w:rsidRPr="00D2694B">
        <w:rPr>
          <w:color w:val="000000"/>
        </w:rPr>
        <w:t xml:space="preserve"> </w:t>
      </w:r>
      <w:r>
        <w:rPr>
          <w:color w:val="000000"/>
        </w:rPr>
        <w:t xml:space="preserve">алгоритм корректно предсказывает </w:t>
      </w:r>
      <w:r w:rsidRPr="00D2694B">
        <w:rPr>
          <w:color w:val="000000"/>
        </w:rPr>
        <w:t xml:space="preserve">92% </w:t>
      </w:r>
      <w:r>
        <w:rPr>
          <w:color w:val="000000"/>
        </w:rPr>
        <w:t>синтезируемых составов.</w:t>
      </w:r>
      <w:r w:rsidR="00B86701" w:rsidRPr="00B86701">
        <w:rPr>
          <w:color w:val="000000"/>
        </w:rPr>
        <w:t xml:space="preserve"> </w:t>
      </w:r>
      <w:r w:rsidR="00B86701">
        <w:rPr>
          <w:color w:val="000000"/>
        </w:rPr>
        <w:t>Предложенный подход превосходит существующие аналоги прогнозирования синтетической доступности по составу (таблица 1)</w:t>
      </w:r>
      <w:r w:rsidR="00F46042">
        <w:rPr>
          <w:color w:val="000000"/>
        </w:rPr>
        <w:t xml:space="preserve"> </w:t>
      </w:r>
      <w:r w:rsidR="00F46042" w:rsidRPr="00F46042">
        <w:rPr>
          <w:color w:val="000000"/>
        </w:rPr>
        <w:t>[</w:t>
      </w:r>
      <w:r w:rsidR="00F46042" w:rsidRPr="00AD5C36">
        <w:rPr>
          <w:color w:val="000000"/>
        </w:rPr>
        <w:t>4</w:t>
      </w:r>
      <w:r w:rsidR="00F46042" w:rsidRPr="00F46042">
        <w:rPr>
          <w:color w:val="000000"/>
        </w:rPr>
        <w:t>]</w:t>
      </w:r>
      <w:r w:rsidR="00B86701">
        <w:rPr>
          <w:color w:val="000000"/>
        </w:rPr>
        <w:t>.</w:t>
      </w:r>
    </w:p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3AACA73" w14:textId="261D1FE8" w:rsidR="00B86701" w:rsidRPr="005E5F6F" w:rsidRDefault="005E5F6F" w:rsidP="00AE49E2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5E5F6F">
        <w:rPr>
          <w:i/>
          <w:iCs/>
          <w:color w:val="000000"/>
          <w:lang w:val="en-US"/>
        </w:rPr>
        <w:t>Jain A. et al.</w:t>
      </w:r>
      <w:r w:rsidRPr="005E5F6F">
        <w:rPr>
          <w:color w:val="000000"/>
          <w:lang w:val="en-US"/>
        </w:rPr>
        <w:t xml:space="preserve"> Commentary: The Materials Project: A materials genome approach to accelerating materials innovation //APL materials. – 2013. – </w:t>
      </w:r>
      <w:r w:rsidRPr="005E5F6F">
        <w:rPr>
          <w:color w:val="000000"/>
        </w:rPr>
        <w:t>Т</w:t>
      </w:r>
      <w:r w:rsidRPr="005E5F6F">
        <w:rPr>
          <w:color w:val="000000"/>
          <w:lang w:val="en-US"/>
        </w:rPr>
        <w:t xml:space="preserve">. 1. – №. </w:t>
      </w:r>
      <w:r w:rsidRPr="005E5F6F">
        <w:rPr>
          <w:color w:val="000000"/>
        </w:rPr>
        <w:t>1.</w:t>
      </w:r>
    </w:p>
    <w:p w14:paraId="0706ACBA" w14:textId="4D829FF6" w:rsidR="005E5F6F" w:rsidRDefault="005E5F6F" w:rsidP="00AE49E2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5E5F6F">
        <w:rPr>
          <w:i/>
          <w:iCs/>
          <w:color w:val="000000"/>
          <w:lang w:val="en-US"/>
        </w:rPr>
        <w:t>Amariamir S., George J., Benner P.</w:t>
      </w:r>
      <w:r w:rsidRPr="005E5F6F">
        <w:rPr>
          <w:color w:val="000000"/>
          <w:lang w:val="en-US"/>
        </w:rPr>
        <w:t xml:space="preserve"> SynCoTrain: a dual classifier PU-learning framework for synthesizability prediction //Digital Discovery. – 2025. – Т. 4. – №. 6. – С. 1437-1448.</w:t>
      </w:r>
    </w:p>
    <w:p w14:paraId="35D07F05" w14:textId="381D5237" w:rsidR="00804E1B" w:rsidRDefault="005E5F6F" w:rsidP="00AE49E2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5E5F6F">
        <w:rPr>
          <w:i/>
          <w:iCs/>
          <w:color w:val="000000"/>
          <w:lang w:val="en-US"/>
        </w:rPr>
        <w:t>Warner B. et al.</w:t>
      </w:r>
      <w:r w:rsidRPr="005E5F6F">
        <w:rPr>
          <w:color w:val="000000"/>
          <w:lang w:val="en-US"/>
        </w:rPr>
        <w:t xml:space="preserve"> Smarter, better, faster, longer: A modern bidirectional encoder for fast, memory efficient, and long context finetuning and inference //Proceedings of the 63rd Annual Meeting of the Association for Computational Linguistics</w:t>
      </w:r>
      <w:r w:rsidR="00AD5C36" w:rsidRPr="00AD5C36">
        <w:rPr>
          <w:color w:val="000000"/>
          <w:lang w:val="en-US"/>
        </w:rPr>
        <w:t xml:space="preserve">  </w:t>
      </w:r>
      <w:r w:rsidRPr="005E5F6F">
        <w:rPr>
          <w:color w:val="000000"/>
          <w:lang w:val="en-US"/>
        </w:rPr>
        <w:t xml:space="preserve">– 2025. – </w:t>
      </w:r>
      <w:r w:rsidRPr="005E5F6F">
        <w:rPr>
          <w:color w:val="000000"/>
        </w:rPr>
        <w:t>С</w:t>
      </w:r>
      <w:r w:rsidRPr="005E5F6F">
        <w:rPr>
          <w:color w:val="000000"/>
          <w:lang w:val="en-US"/>
        </w:rPr>
        <w:t>. 2526-2547.</w:t>
      </w:r>
    </w:p>
    <w:p w14:paraId="6EF610B2" w14:textId="6DE3672B" w:rsidR="002073F6" w:rsidRPr="002073F6" w:rsidRDefault="002073F6" w:rsidP="00AE49E2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2073F6">
        <w:rPr>
          <w:i/>
          <w:iCs/>
          <w:color w:val="000000"/>
          <w:lang w:val="en-US"/>
        </w:rPr>
        <w:t>Jang J. et al</w:t>
      </w:r>
      <w:r w:rsidRPr="002073F6">
        <w:rPr>
          <w:color w:val="000000"/>
          <w:lang w:val="en-US"/>
        </w:rPr>
        <w:t>. Synthesizability of materials stoichiometry using semi-supervised learning //Matter. – 2024. – Т. 7. – №. 6. – С. 2294-2312.</w:t>
      </w:r>
    </w:p>
    <w:sectPr w:rsidR="002073F6" w:rsidRPr="002073F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65DA"/>
    <w:multiLevelType w:val="hybridMultilevel"/>
    <w:tmpl w:val="9AE2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72507">
    <w:abstractNumId w:val="3"/>
  </w:num>
  <w:num w:numId="2" w16cid:durableId="2128233926">
    <w:abstractNumId w:val="4"/>
  </w:num>
  <w:num w:numId="3" w16cid:durableId="1512716927">
    <w:abstractNumId w:val="2"/>
  </w:num>
  <w:num w:numId="4" w16cid:durableId="1380588343">
    <w:abstractNumId w:val="0"/>
  </w:num>
  <w:num w:numId="5" w16cid:durableId="114191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6F2"/>
    <w:rsid w:val="00063966"/>
    <w:rsid w:val="0007594B"/>
    <w:rsid w:val="00075D6E"/>
    <w:rsid w:val="00086081"/>
    <w:rsid w:val="0009449A"/>
    <w:rsid w:val="00094FD0"/>
    <w:rsid w:val="000E334E"/>
    <w:rsid w:val="000F24B4"/>
    <w:rsid w:val="00101A1C"/>
    <w:rsid w:val="00103657"/>
    <w:rsid w:val="00106375"/>
    <w:rsid w:val="00107AA3"/>
    <w:rsid w:val="00116478"/>
    <w:rsid w:val="00130241"/>
    <w:rsid w:val="001E61C2"/>
    <w:rsid w:val="001F0493"/>
    <w:rsid w:val="002073F6"/>
    <w:rsid w:val="0022260A"/>
    <w:rsid w:val="002264EE"/>
    <w:rsid w:val="0023307C"/>
    <w:rsid w:val="0025586C"/>
    <w:rsid w:val="002B1CD0"/>
    <w:rsid w:val="002F2C9B"/>
    <w:rsid w:val="002F7BBA"/>
    <w:rsid w:val="0031361E"/>
    <w:rsid w:val="00344930"/>
    <w:rsid w:val="00373E2D"/>
    <w:rsid w:val="00391C38"/>
    <w:rsid w:val="003A293D"/>
    <w:rsid w:val="003B76D6"/>
    <w:rsid w:val="003C7918"/>
    <w:rsid w:val="003D09AD"/>
    <w:rsid w:val="003E2601"/>
    <w:rsid w:val="003E48D8"/>
    <w:rsid w:val="003F4E6B"/>
    <w:rsid w:val="004A26A3"/>
    <w:rsid w:val="004F0EDF"/>
    <w:rsid w:val="00522BF1"/>
    <w:rsid w:val="00572F31"/>
    <w:rsid w:val="00590166"/>
    <w:rsid w:val="005B07E6"/>
    <w:rsid w:val="005B457A"/>
    <w:rsid w:val="005D022B"/>
    <w:rsid w:val="005E5BE9"/>
    <w:rsid w:val="005E5F6F"/>
    <w:rsid w:val="005F2BB1"/>
    <w:rsid w:val="00665279"/>
    <w:rsid w:val="0069427D"/>
    <w:rsid w:val="006C22F5"/>
    <w:rsid w:val="006D7570"/>
    <w:rsid w:val="006E0533"/>
    <w:rsid w:val="006F7A19"/>
    <w:rsid w:val="00705378"/>
    <w:rsid w:val="00710EB3"/>
    <w:rsid w:val="007213E1"/>
    <w:rsid w:val="00775389"/>
    <w:rsid w:val="00776E54"/>
    <w:rsid w:val="00797838"/>
    <w:rsid w:val="007A32E7"/>
    <w:rsid w:val="007C36D8"/>
    <w:rsid w:val="007F2744"/>
    <w:rsid w:val="00804E1B"/>
    <w:rsid w:val="00880ED3"/>
    <w:rsid w:val="008931BE"/>
    <w:rsid w:val="008C67E3"/>
    <w:rsid w:val="008D67B8"/>
    <w:rsid w:val="008E7297"/>
    <w:rsid w:val="00914205"/>
    <w:rsid w:val="00921D45"/>
    <w:rsid w:val="009426C0"/>
    <w:rsid w:val="00980A65"/>
    <w:rsid w:val="009A05C3"/>
    <w:rsid w:val="009A60F1"/>
    <w:rsid w:val="009A66DB"/>
    <w:rsid w:val="009B2F80"/>
    <w:rsid w:val="009B3300"/>
    <w:rsid w:val="009F3380"/>
    <w:rsid w:val="00A02163"/>
    <w:rsid w:val="00A2118F"/>
    <w:rsid w:val="00A314FE"/>
    <w:rsid w:val="00AA1D62"/>
    <w:rsid w:val="00AC182C"/>
    <w:rsid w:val="00AD5C36"/>
    <w:rsid w:val="00AD7380"/>
    <w:rsid w:val="00AD7DDF"/>
    <w:rsid w:val="00AE49E2"/>
    <w:rsid w:val="00B86701"/>
    <w:rsid w:val="00B92A04"/>
    <w:rsid w:val="00BF36F8"/>
    <w:rsid w:val="00BF4622"/>
    <w:rsid w:val="00C36346"/>
    <w:rsid w:val="00C844E2"/>
    <w:rsid w:val="00CC1CDB"/>
    <w:rsid w:val="00CD00B1"/>
    <w:rsid w:val="00CF6D82"/>
    <w:rsid w:val="00D11BE3"/>
    <w:rsid w:val="00D15E8E"/>
    <w:rsid w:val="00D22306"/>
    <w:rsid w:val="00D2694B"/>
    <w:rsid w:val="00D37D84"/>
    <w:rsid w:val="00D42542"/>
    <w:rsid w:val="00D8121C"/>
    <w:rsid w:val="00DD47C4"/>
    <w:rsid w:val="00E22189"/>
    <w:rsid w:val="00E74069"/>
    <w:rsid w:val="00E81D35"/>
    <w:rsid w:val="00EB1F49"/>
    <w:rsid w:val="00ED3BF9"/>
    <w:rsid w:val="00EE5A9E"/>
    <w:rsid w:val="00F46042"/>
    <w:rsid w:val="00F55054"/>
    <w:rsid w:val="00F865B3"/>
    <w:rsid w:val="00FA2140"/>
    <w:rsid w:val="00FB1509"/>
    <w:rsid w:val="00FC621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8E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E05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053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0533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05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053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Рубцов</dc:creator>
  <cp:lastModifiedBy>Иван Рубцов</cp:lastModifiedBy>
  <cp:revision>3</cp:revision>
  <cp:lastPrinted>2026-01-28T14:24:00Z</cp:lastPrinted>
  <dcterms:created xsi:type="dcterms:W3CDTF">2026-03-05T11:10:00Z</dcterms:created>
  <dcterms:modified xsi:type="dcterms:W3CDTF">2026-03-05T11:29:00Z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