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spacing w:lineRule="auto" w:line="240"/>
        <w:jc w:val="center"/>
        <w:rPr>
          <w:shd w:fill="auto" w:val="clear"/>
        </w:rPr>
      </w:pPr>
      <w:r>
        <w:rPr>
          <w:b/>
          <w:color w:val="000000"/>
          <w:shd w:fill="auto" w:val="clear"/>
        </w:rPr>
        <w:t xml:space="preserve">Использование методов машинного обучения для предсказания химических сдвигов </w:t>
      </w:r>
      <w:r>
        <w:rPr>
          <w:b/>
          <w:color w:val="000000"/>
          <w:shd w:fill="auto" w:val="clear"/>
          <w:vertAlign w:val="superscript"/>
        </w:rPr>
        <w:t>93</w:t>
      </w:r>
      <w:r>
        <w:rPr>
          <w:b/>
          <w:color w:val="000000"/>
          <w:shd w:fill="auto" w:val="clear"/>
        </w:rPr>
        <w:t xml:space="preserve">Nb, </w:t>
      </w:r>
      <w:r>
        <w:rPr>
          <w:b/>
          <w:color w:val="000000"/>
          <w:shd w:fill="auto" w:val="clear"/>
          <w:vertAlign w:val="superscript"/>
        </w:rPr>
        <w:t>95</w:t>
      </w:r>
      <w:r>
        <w:rPr>
          <w:b/>
          <w:color w:val="000000"/>
          <w:shd w:fill="auto" w:val="clear"/>
        </w:rPr>
        <w:t xml:space="preserve">Mo, </w:t>
      </w:r>
      <w:r>
        <w:rPr>
          <w:b/>
          <w:color w:val="000000"/>
          <w:shd w:fill="auto" w:val="clear"/>
          <w:vertAlign w:val="superscript"/>
        </w:rPr>
        <w:t>205</w:t>
      </w:r>
      <w:r>
        <w:rPr>
          <w:b/>
          <w:color w:val="000000"/>
          <w:shd w:fill="auto" w:val="clear"/>
        </w:rPr>
        <w:t>Tl ЯМР в комплексах редких и переходных металлов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b/>
          <w:i/>
          <w:color w:val="000000"/>
        </w:rPr>
        <w:t>Исаев Я.И.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>
        <w:rPr>
          <w:b/>
          <w:color w:val="000000"/>
        </w:rPr>
        <w:t>Ковалев А.Е.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position w:val="0"/>
          <w:sz w:val="24"/>
          <w:sz w:val="24"/>
          <w:vertAlign w:val="baseline"/>
        </w:rPr>
        <w:t>, Макаров Д.М.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position w:val="0"/>
          <w:sz w:val="24"/>
          <w:sz w:val="24"/>
          <w:vertAlign w:val="baseline"/>
        </w:rPr>
        <w:t>, Ходов И.А.</w:t>
      </w:r>
      <w:r>
        <w:rPr>
          <w:b/>
          <w:i/>
          <w:color w:val="000000"/>
          <w:vertAlign w:val="superscript"/>
        </w:rPr>
        <w:t>1,2</w:t>
      </w:r>
    </w:p>
    <w:p>
      <w:pPr>
        <w:pStyle w:val="Normal"/>
        <w:shd w:val="clear" w:fill="FFFFFF"/>
        <w:spacing w:lineRule="auto" w:line="240"/>
        <w:jc w:val="center"/>
        <w:rPr>
          <w:i/>
          <w:i/>
          <w:color w:val="000000"/>
        </w:rPr>
      </w:pPr>
      <w:r>
        <w:rPr>
          <w:i/>
          <w:color w:val="000000"/>
        </w:rPr>
        <w:t>Студент, 2 курса магистратуры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Институт химии растворов имени Г.А. Крестова РАН, Иваново, Россия 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i/>
          <w:color w:val="000000"/>
          <w:vertAlign w:val="superscript"/>
        </w:rPr>
        <w:t xml:space="preserve">2 </w:t>
      </w:r>
      <w:r>
        <w:rPr>
          <w:i/>
          <w:color w:val="000000"/>
          <w:position w:val="0"/>
          <w:sz w:val="24"/>
          <w:sz w:val="24"/>
          <w:vertAlign w:val="baseline"/>
        </w:rPr>
        <w:t>Ф</w:t>
      </w:r>
      <w:r>
        <w:rPr>
          <w:i/>
          <w:color w:val="000000"/>
        </w:rPr>
        <w:t>едеральный исследовательский центр химической физики им. Н.Н. Семенова РАН, Москва, Россия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isaev.yaroslav.ivanovo@gmail.com</w:t>
      </w:r>
    </w:p>
    <w:p>
      <w:pPr>
        <w:pStyle w:val="Normal"/>
        <w:shd w:val="clear" w:fill="FFFFFF"/>
        <w:spacing w:lineRule="auto" w:line="240"/>
        <w:ind w:firstLine="397"/>
        <w:jc w:val="both"/>
        <w:rPr/>
      </w:pPr>
      <w:r>
        <w:rPr>
          <w:color w:val="000000"/>
          <w:shd w:fill="auto" w:val="clear"/>
        </w:rPr>
        <w:t>Химические сдвиги в спектроскопии ядерного магнитного резонанса (ЯМР) служат ключевым источником информации о локальном электронном окружении атомов в молекулах. Несмотря на высокую информативность, регистрация и интерпретация спектров ЯМР для ядер тяжёлых элементов, таких ка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 xml:space="preserve">к </w:t>
      </w:r>
      <w:r>
        <w:rPr>
          <w:rFonts w:eastAsia="Times New Roman" w:cs="Times New Roman"/>
          <w:color w:val="000000"/>
          <w:sz w:val="24"/>
          <w:szCs w:val="24"/>
          <w:shd w:fill="auto" w:val="clear"/>
          <w:vertAlign w:val="superscript"/>
        </w:rPr>
        <w:t>93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 xml:space="preserve">Nb, </w:t>
      </w:r>
      <w:r>
        <w:rPr>
          <w:rFonts w:eastAsia="Times New Roman" w:cs="Times New Roman"/>
          <w:color w:val="000000"/>
          <w:sz w:val="24"/>
          <w:szCs w:val="24"/>
          <w:shd w:fill="auto" w:val="clear"/>
          <w:vertAlign w:val="superscript"/>
        </w:rPr>
        <w:t>95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 xml:space="preserve">Mo, </w:t>
      </w:r>
      <w:r>
        <w:rPr>
          <w:rFonts w:eastAsia="Times New Roman" w:cs="Times New Roman"/>
          <w:color w:val="000000"/>
          <w:sz w:val="24"/>
          <w:szCs w:val="24"/>
          <w:shd w:fill="auto" w:val="clear"/>
          <w:vertAlign w:val="superscript"/>
        </w:rPr>
        <w:t>205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>Tl</w:t>
      </w:r>
      <w:r>
        <w:rPr>
          <w:color w:val="000000"/>
          <w:shd w:fill="auto" w:val="clear"/>
        </w:rPr>
        <w:t>, является крайне трудоёмкой задачей из-за экспериментальных сложностей и высокой вычислительной стоимости квантово-химических расчётов. Машинное обучение (МО) предлагает путь к преодолению этих барьеров, позволяя прогнозировать сдвиги со скоростью, на порядки превышающей расчёты методом теории функционала плотности, при сохранении сопоставимой точности.</w:t>
      </w:r>
    </w:p>
    <w:p>
      <w:pPr>
        <w:pStyle w:val="Normal"/>
        <w:shd w:val="clear" w:fill="FFFFFF"/>
        <w:spacing w:lineRule="auto" w:line="240"/>
        <w:ind w:firstLine="397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  <w:t xml:space="preserve">Целью данной работы является разработка и оптимизация подходов машинного обучения для предсказания ЯМР-сдвигов ядер </w:t>
      </w:r>
      <w:r>
        <w:rPr>
          <w:rFonts w:eastAsia="Times New Roman" w:cs="Times New Roman"/>
          <w:color w:val="000000"/>
          <w:sz w:val="24"/>
          <w:szCs w:val="24"/>
          <w:shd w:fill="auto" w:val="clear"/>
          <w:vertAlign w:val="superscript"/>
        </w:rPr>
        <w:t>93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 xml:space="preserve">Nb, </w:t>
      </w:r>
      <w:r>
        <w:rPr>
          <w:rFonts w:eastAsia="Times New Roman" w:cs="Times New Roman"/>
          <w:color w:val="000000"/>
          <w:sz w:val="24"/>
          <w:szCs w:val="24"/>
          <w:shd w:fill="auto" w:val="clear"/>
          <w:vertAlign w:val="superscript"/>
        </w:rPr>
        <w:t>95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 xml:space="preserve">Mo, </w:t>
      </w:r>
      <w:r>
        <w:rPr>
          <w:rFonts w:eastAsia="Times New Roman" w:cs="Times New Roman"/>
          <w:color w:val="000000"/>
          <w:sz w:val="24"/>
          <w:szCs w:val="24"/>
          <w:shd w:fill="auto" w:val="clear"/>
          <w:vertAlign w:val="superscript"/>
        </w:rPr>
        <w:t>205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>Tl</w:t>
      </w:r>
      <w:r>
        <w:rPr>
          <w:color w:val="000000"/>
          <w:shd w:fill="auto" w:val="clear"/>
        </w:rPr>
        <w:t xml:space="preserve"> на основе базы экспериментальных данных, которая содержит информацию о значении химического сдвига в жидкой фазе, температуре, растворителе и литературных источников. </w:t>
      </w:r>
      <w:r>
        <w:rPr>
          <w:color w:val="000000"/>
          <w:kern w:val="0"/>
          <w:sz w:val="24"/>
          <w:szCs w:val="24"/>
          <w:shd w:fill="auto" w:val="clear"/>
          <w:lang w:val="ru-RU" w:eastAsia="ru-RU"/>
        </w:rPr>
        <w:t xml:space="preserve">Итоговый набор данных содержит 1479 измерений для 1433 уникальных соединений, распределенных по следующим ядрам: </w:t>
      </w:r>
      <w:r>
        <w:rPr>
          <w:b w:val="false"/>
          <w:bCs w:val="false"/>
          <w:color w:val="000000"/>
          <w:kern w:val="0"/>
          <w:sz w:val="24"/>
          <w:szCs w:val="24"/>
          <w:shd w:fill="auto" w:val="clear"/>
          <w:vertAlign w:val="superscript"/>
          <w:lang w:val="ru-RU" w:eastAsia="ru-RU"/>
        </w:rPr>
        <w:t>93</w:t>
      </w:r>
      <w:r>
        <w:rPr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/>
        </w:rPr>
        <w:t xml:space="preserve">Nb (173), </w:t>
      </w:r>
      <w:r>
        <w:rPr>
          <w:b w:val="false"/>
          <w:bCs w:val="false"/>
          <w:color w:val="000000"/>
          <w:kern w:val="0"/>
          <w:sz w:val="24"/>
          <w:szCs w:val="24"/>
          <w:shd w:fill="auto" w:val="clear"/>
          <w:vertAlign w:val="superscript"/>
          <w:lang w:val="ru-RU" w:eastAsia="ru-RU"/>
        </w:rPr>
        <w:t>95</w:t>
      </w:r>
      <w:r>
        <w:rPr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/>
        </w:rPr>
        <w:t xml:space="preserve">Mo (1132) и </w:t>
      </w:r>
      <w:r>
        <w:rPr>
          <w:b w:val="false"/>
          <w:bCs w:val="false"/>
          <w:color w:val="000000"/>
          <w:kern w:val="0"/>
          <w:sz w:val="24"/>
          <w:szCs w:val="24"/>
          <w:shd w:fill="auto" w:val="clear"/>
          <w:vertAlign w:val="superscript"/>
          <w:lang w:val="ru-RU" w:eastAsia="ru-RU"/>
        </w:rPr>
        <w:t>205</w:t>
      </w:r>
      <w:r>
        <w:rPr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/>
        </w:rPr>
        <w:t>Tl</w:t>
      </w:r>
      <w:r>
        <w:rPr>
          <w:color w:val="000000"/>
          <w:kern w:val="0"/>
          <w:sz w:val="24"/>
          <w:szCs w:val="24"/>
          <w:shd w:fill="auto" w:val="clear"/>
          <w:lang w:val="ru-RU" w:eastAsia="ru-RU"/>
        </w:rPr>
        <w:t xml:space="preserve"> (174). Ключевые диапазоны параметров: химические сдвиги от –2953 до 4963 ppm, молекулярные массы от 203,01 до 2245,22 г/моль, что отражает значительную вариативность химических сдвигов и структур. Все измерения проводились в дейтерированных растворителях (19 различных сред), включая диметилсульфоксид, ацетонитрил, хлороформ, воду и т. д. Температурные условия эксперимента варьировались от 202 до 366 К, при этом большинство измерений (97 %) проводилось в диапазоне 293–303 К. </w:t>
      </w:r>
    </w:p>
    <w:p>
      <w:pPr>
        <w:pStyle w:val="Normal"/>
        <w:shd w:val="clear" w:fill="FFFFFF"/>
        <w:spacing w:lineRule="auto" w:line="240"/>
        <w:ind w:firstLine="397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  <w:t>Для прогнозирования химического сдвига ЯМР использовались дескрипторные алгоритмы машинного обучения (Catboost), нейросетевые архитектуры (Chemprop, Transformer-CNF, MolEncoder) и гибрида (TabPFN). В качестве глобальных дескрипторов выступали 2D-дескрипторы RDKit. Оценка качества моделей проводилась с использованием 5-кратной перекрестной проверки по метрике RMSE (среднеквадратичная ошибка).</w:t>
      </w:r>
    </w:p>
    <w:p>
      <w:pPr>
        <w:pStyle w:val="Normal"/>
        <w:shd w:val="clear" w:fill="FFFFFF"/>
        <w:spacing w:lineRule="auto" w:line="240"/>
        <w:ind w:firstLine="397"/>
        <w:jc w:val="left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Таблица </w:t>
      </w:r>
      <w:r>
        <w:rPr>
          <w:color w:val="000000"/>
          <w:shd w:fill="auto" w:val="clear"/>
          <w:lang w:val="en-US"/>
        </w:rPr>
        <w:t>1</w:t>
      </w:r>
      <w:r>
        <w:rPr>
          <w:color w:val="000000"/>
          <w:shd w:fill="auto" w:val="clear"/>
        </w:rPr>
        <w:t>. Статистический параметр RMSE для моделей, построенных с помощью различных наборов и методов МО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77"/>
        <w:gridCol w:w="1598"/>
        <w:gridCol w:w="1586"/>
        <w:gridCol w:w="1588"/>
        <w:gridCol w:w="1982"/>
        <w:gridCol w:w="1652"/>
      </w:tblGrid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TabPFN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Catboost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Chemprop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Transformer-CNF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MolEncoder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vertAlign w:val="superscript"/>
              </w:rPr>
              <w:t>93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</w:rPr>
              <w:t>Nb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264.8 ± 47.4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345.1 ± 66.9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325.5 ± 42.0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412.0 ± 39.5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428.5 ± 40.9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vertAlign w:val="superscript"/>
              </w:rPr>
              <w:t>95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</w:rPr>
              <w:t>Mo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325.23 ± 64.8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414.2 ± 62.9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687.0 ± 94.5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440.2 ± 28.5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472.3 ± 20.2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vertAlign w:val="superscript"/>
              </w:rPr>
              <w:t>205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</w:rPr>
              <w:t>Tl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496.5 ± 129.3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579.0 ± 141.6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453.8 ± 48.0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729.5 ± 89.4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657.6 ± 57.3</w:t>
            </w:r>
          </w:p>
        </w:tc>
      </w:tr>
    </w:tbl>
    <w:p>
      <w:pPr>
        <w:pStyle w:val="Normal"/>
        <w:shd w:val="clear" w:fill="FFFFFF"/>
        <w:spacing w:lineRule="auto" w:line="240"/>
        <w:ind w:firstLine="397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  <w:t xml:space="preserve">На основе созданной базы данных из 1479 измерений для ядер </w:t>
      </w:r>
      <w:r>
        <w:rPr>
          <w:rFonts w:eastAsia="Times New Roman" w:cs="Times New Roman"/>
          <w:color w:val="000000"/>
          <w:sz w:val="24"/>
          <w:szCs w:val="24"/>
          <w:shd w:fill="auto" w:val="clear"/>
          <w:vertAlign w:val="superscript"/>
        </w:rPr>
        <w:t>93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 xml:space="preserve">Nb, </w:t>
      </w:r>
      <w:r>
        <w:rPr>
          <w:rFonts w:eastAsia="Times New Roman" w:cs="Times New Roman"/>
          <w:color w:val="000000"/>
          <w:sz w:val="24"/>
          <w:szCs w:val="24"/>
          <w:shd w:fill="auto" w:val="clear"/>
          <w:vertAlign w:val="superscript"/>
        </w:rPr>
        <w:t>95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 xml:space="preserve">Mo и </w:t>
      </w:r>
      <w:r>
        <w:rPr>
          <w:rFonts w:eastAsia="Times New Roman" w:cs="Times New Roman"/>
          <w:color w:val="000000"/>
          <w:sz w:val="24"/>
          <w:szCs w:val="24"/>
          <w:shd w:fill="auto" w:val="clear"/>
          <w:vertAlign w:val="superscript"/>
        </w:rPr>
        <w:t>205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>Tl</w:t>
      </w:r>
      <w:r>
        <w:rPr>
          <w:color w:val="000000"/>
          <w:shd w:fill="auto" w:val="clear"/>
        </w:rPr>
        <w:t xml:space="preserve"> показано, что наиболее точные прогнозы химических сдвигов ЯМР обеспечивает модель TabPFN (RMSE 264.8, 325.3 и 496.5 ppm соответственно). Превосходство TabPFN над остальными методами обусловлено предобучением на миллионах синтетических баз данных, что позволяет эффективно работать с ограниченными экспериментальными выборками. Предложенный метод открывает возможности для быстрого и экономичного прогнозирования ЯМР-сдвигов при дизайне новых комплексов с заданными свойствами.</w:t>
      </w:r>
    </w:p>
    <w:p>
      <w:pPr>
        <w:pStyle w:val="Normal"/>
        <w:shd w:val="clear" w:fill="FFFFFF"/>
        <w:spacing w:lineRule="auto" w:line="240"/>
        <w:ind w:firstLine="397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shd w:val="clear" w:color="auto" w:fill="FFFFFF"/>
        <w:ind w:firstLine="397"/>
        <w:jc w:val="both"/>
        <w:rPr>
          <w:i/>
          <w:i/>
          <w:iCs/>
        </w:rPr>
      </w:pPr>
      <w:r>
        <w:rPr>
          <w:i/>
          <w:iCs/>
          <w:color w:val="000000"/>
          <w:shd w:fill="auto" w:val="clear"/>
        </w:rPr>
        <w:t>Работа выполнена при финансовой поддержке Российского научного фонда, проект 22-13-00257-П.</w:t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Абзац списка Знак"/>
    <w:basedOn w:val="DefaultParagraphFont"/>
    <w:link w:val="ListParagraph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Roboto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Roboto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1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LibreOffice/24.8.7.2$Linux_X86_64 LibreOffice_project/480$Build-2</Application>
  <AppVersion>15.0000</AppVersion>
  <Pages>1</Pages>
  <Words>437</Words>
  <Characters>2985</Characters>
  <CharactersWithSpaces>3388</CharactersWithSpaces>
  <Paragraphs>35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  <dc:creator/>
  <dc:description/>
  <dc:language>ru-RU</dc:language>
  <cp:lastModifiedBy/>
  <cp:lastPrinted>2026-01-28T14:24:00Z</cp:lastPrinted>
  <dcterms:modified xsi:type="dcterms:W3CDTF">2026-02-26T10:22:34Z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