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A6178" w14:textId="0C183CDF" w:rsidR="002D0751" w:rsidRDefault="002D0751" w:rsidP="00964D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2D0751">
        <w:rPr>
          <w:b/>
          <w:color w:val="000000"/>
        </w:rPr>
        <w:t xml:space="preserve">Сравнительная оценка критической концентрации мицеллообразования </w:t>
      </w:r>
      <w:r>
        <w:rPr>
          <w:b/>
          <w:color w:val="000000"/>
        </w:rPr>
        <w:t>мицелл</w:t>
      </w:r>
      <w:r w:rsidRPr="002D0751">
        <w:rPr>
          <w:b/>
          <w:color w:val="000000"/>
        </w:rPr>
        <w:t xml:space="preserve"> олеилгиалуронана, полученной различными физико-химическими методами</w:t>
      </w:r>
    </w:p>
    <w:p w14:paraId="2F99A29D" w14:textId="60D140A8" w:rsidR="00964D5F" w:rsidRPr="005C3890" w:rsidRDefault="00964D5F" w:rsidP="00964D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vertAlign w:val="superscript"/>
        </w:rPr>
      </w:pPr>
      <w:r w:rsidRPr="00E1589D">
        <w:rPr>
          <w:b/>
          <w:i/>
          <w:color w:val="000000"/>
        </w:rPr>
        <w:t>Антонова</w:t>
      </w:r>
      <w:bookmarkStart w:id="0" w:name="_Hlk144380165"/>
      <w:r>
        <w:rPr>
          <w:b/>
          <w:i/>
          <w:color w:val="000000"/>
        </w:rPr>
        <w:t xml:space="preserve"> М.М.</w:t>
      </w:r>
      <w:r w:rsidRPr="00E1589D">
        <w:rPr>
          <w:b/>
          <w:i/>
          <w:color w:val="000000"/>
          <w:vertAlign w:val="superscript"/>
        </w:rPr>
        <w:t>1</w:t>
      </w:r>
      <w:bookmarkEnd w:id="0"/>
      <w:r w:rsidR="0077323F">
        <w:rPr>
          <w:b/>
          <w:i/>
          <w:color w:val="000000"/>
        </w:rPr>
        <w:t>(аспирант 2 год)</w:t>
      </w:r>
      <w:r w:rsidRPr="00E1589D">
        <w:rPr>
          <w:b/>
          <w:i/>
          <w:color w:val="000000"/>
        </w:rPr>
        <w:t xml:space="preserve">, </w:t>
      </w:r>
      <w:r w:rsidR="006C3568">
        <w:rPr>
          <w:b/>
          <w:i/>
          <w:color w:val="000000"/>
        </w:rPr>
        <w:t>Русинова П.С.</w:t>
      </w:r>
      <w:r w:rsidR="006C3568" w:rsidRPr="006C3568">
        <w:rPr>
          <w:b/>
          <w:i/>
          <w:color w:val="000000"/>
          <w:vertAlign w:val="superscript"/>
        </w:rPr>
        <w:t xml:space="preserve"> </w:t>
      </w:r>
      <w:r w:rsidR="006C3568" w:rsidRPr="00E1589D">
        <w:rPr>
          <w:b/>
          <w:i/>
          <w:color w:val="000000"/>
          <w:vertAlign w:val="superscript"/>
        </w:rPr>
        <w:t>1</w:t>
      </w:r>
      <w:r w:rsidR="006C3568">
        <w:rPr>
          <w:b/>
          <w:i/>
          <w:color w:val="000000"/>
        </w:rPr>
        <w:t>, Мишина К. А.</w:t>
      </w:r>
      <w:r w:rsidR="006C3568">
        <w:rPr>
          <w:b/>
          <w:i/>
          <w:color w:val="000000"/>
          <w:vertAlign w:val="superscript"/>
        </w:rPr>
        <w:t>2</w:t>
      </w:r>
    </w:p>
    <w:p w14:paraId="00000003" w14:textId="70EF15CC" w:rsidR="00130241" w:rsidRDefault="00046F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 w:rsidR="006C3568">
        <w:rPr>
          <w:i/>
          <w:color w:val="000000"/>
        </w:rPr>
        <w:t>2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14:paraId="00000005" w14:textId="20E4C413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046F83" w:rsidRPr="003362D9">
        <w:rPr>
          <w:i/>
          <w:iCs/>
        </w:rPr>
        <w:t>ФГБОУ ВО «Российский химико-технологический университет им. Д.И. Менделеева»</w:t>
      </w:r>
      <w:r w:rsidR="00046F83">
        <w:rPr>
          <w:i/>
          <w:iCs/>
        </w:rPr>
        <w:t xml:space="preserve">, </w:t>
      </w:r>
      <w:r w:rsidR="00046F83" w:rsidRPr="003362D9">
        <w:rPr>
          <w:i/>
          <w:iCs/>
        </w:rPr>
        <w:t xml:space="preserve">Москва, </w:t>
      </w:r>
      <w:r w:rsidR="00046F83">
        <w:rPr>
          <w:i/>
          <w:iCs/>
        </w:rPr>
        <w:t>Россия</w:t>
      </w:r>
    </w:p>
    <w:p w14:paraId="585C9A02" w14:textId="77777777" w:rsidR="006C3568" w:rsidRDefault="00EB1F49" w:rsidP="00046F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6C3568" w:rsidRPr="006C3568">
        <w:t xml:space="preserve"> </w:t>
      </w:r>
      <w:r w:rsidR="006C3568" w:rsidRPr="006C3568">
        <w:rPr>
          <w:i/>
          <w:color w:val="000000"/>
        </w:rPr>
        <w:t>ФГУП «Всероссийский научно-исследовательский институт метрологии им. Д. И. Менделеева»</w:t>
      </w:r>
    </w:p>
    <w:p w14:paraId="6C41695E" w14:textId="6553BBE8" w:rsidR="00046F83" w:rsidRPr="006C3568" w:rsidRDefault="00EB1F49" w:rsidP="00046F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AF0398">
        <w:rPr>
          <w:i/>
          <w:color w:val="000000"/>
          <w:lang w:val="en-US"/>
        </w:rPr>
        <w:t>E</w:t>
      </w:r>
      <w:r w:rsidR="003B76D6" w:rsidRPr="006C3568">
        <w:rPr>
          <w:i/>
          <w:color w:val="000000"/>
          <w:lang w:val="en-US"/>
        </w:rPr>
        <w:t>-</w:t>
      </w:r>
      <w:r w:rsidRPr="00AF0398">
        <w:rPr>
          <w:i/>
          <w:color w:val="000000"/>
          <w:lang w:val="en-US"/>
        </w:rPr>
        <w:t>mail</w:t>
      </w:r>
      <w:r w:rsidRPr="006C3568">
        <w:rPr>
          <w:i/>
          <w:color w:val="000000"/>
          <w:lang w:val="en-US"/>
        </w:rPr>
        <w:t xml:space="preserve">: </w:t>
      </w:r>
      <w:r w:rsidR="00046F83" w:rsidRPr="00AF0398">
        <w:rPr>
          <w:i/>
          <w:iCs/>
          <w:u w:val="single"/>
          <w:lang w:val="en-US"/>
        </w:rPr>
        <w:t>antonova</w:t>
      </w:r>
      <w:r w:rsidR="00046F83" w:rsidRPr="006C3568">
        <w:rPr>
          <w:i/>
          <w:iCs/>
          <w:u w:val="single"/>
          <w:lang w:val="en-US"/>
        </w:rPr>
        <w:t>.</w:t>
      </w:r>
      <w:r w:rsidR="00046F83" w:rsidRPr="00AF0398">
        <w:rPr>
          <w:i/>
          <w:iCs/>
          <w:u w:val="single"/>
          <w:lang w:val="en-US"/>
        </w:rPr>
        <w:t>maria</w:t>
      </w:r>
      <w:r w:rsidR="00046F83" w:rsidRPr="006C3568">
        <w:rPr>
          <w:i/>
          <w:iCs/>
          <w:u w:val="single"/>
          <w:lang w:val="en-US"/>
        </w:rPr>
        <w:t>.</w:t>
      </w:r>
      <w:r w:rsidR="00046F83" w:rsidRPr="00AF0398">
        <w:rPr>
          <w:i/>
          <w:iCs/>
          <w:u w:val="single"/>
          <w:lang w:val="en-US"/>
        </w:rPr>
        <w:t>m</w:t>
      </w:r>
      <w:r w:rsidR="00046F83" w:rsidRPr="006C3568">
        <w:rPr>
          <w:i/>
          <w:iCs/>
          <w:u w:val="single"/>
          <w:lang w:val="en-US"/>
        </w:rPr>
        <w:t>@</w:t>
      </w:r>
      <w:r w:rsidR="00046F83" w:rsidRPr="00AF0398">
        <w:rPr>
          <w:i/>
          <w:iCs/>
          <w:u w:val="single"/>
          <w:lang w:val="en-US"/>
        </w:rPr>
        <w:t>mail</w:t>
      </w:r>
      <w:r w:rsidR="00046F83" w:rsidRPr="006C3568">
        <w:rPr>
          <w:i/>
          <w:iCs/>
          <w:u w:val="single"/>
          <w:lang w:val="en-US"/>
        </w:rPr>
        <w:t>.</w:t>
      </w:r>
      <w:r w:rsidR="00046F83" w:rsidRPr="00AF0398">
        <w:rPr>
          <w:i/>
          <w:iCs/>
          <w:u w:val="single"/>
          <w:lang w:val="en-US"/>
        </w:rPr>
        <w:t>ru</w:t>
      </w:r>
      <w:r w:rsidRPr="006C3568">
        <w:rPr>
          <w:i/>
          <w:color w:val="000000"/>
          <w:lang w:val="en-US"/>
        </w:rPr>
        <w:t xml:space="preserve"> </w:t>
      </w:r>
    </w:p>
    <w:p w14:paraId="0034EE3B" w14:textId="59B292A7" w:rsidR="0062542D" w:rsidRDefault="0062542D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7A5999">
        <w:t>Кон</w:t>
      </w:r>
      <w:r>
        <w:t>ъ</w:t>
      </w:r>
      <w:r w:rsidRPr="007A5999">
        <w:t>югаты низкомолекулярно</w:t>
      </w:r>
      <w:r w:rsidR="00F41982">
        <w:t>го</w:t>
      </w:r>
      <w:r w:rsidRPr="007A5999">
        <w:t xml:space="preserve"> гиалуронана</w:t>
      </w:r>
      <w:r>
        <w:t xml:space="preserve"> с гидрофобными молекулами</w:t>
      </w:r>
      <w:r w:rsidRPr="007A5999">
        <w:t xml:space="preserve">, сохраняя все известные преимущества гиалуроновой кислоты, способны к образованию мицелл, </w:t>
      </w:r>
      <w:r>
        <w:t>в которые могут быть</w:t>
      </w:r>
      <w:r w:rsidRPr="007A5999">
        <w:t xml:space="preserve"> загру</w:t>
      </w:r>
      <w:r>
        <w:t>жены</w:t>
      </w:r>
      <w:r w:rsidRPr="007A5999">
        <w:t xml:space="preserve"> гидрофобны</w:t>
      </w:r>
      <w:r>
        <w:t>е</w:t>
      </w:r>
      <w:r w:rsidRPr="007A5999">
        <w:t xml:space="preserve"> лекарственны</w:t>
      </w:r>
      <w:r>
        <w:t xml:space="preserve">е </w:t>
      </w:r>
      <w:r w:rsidRPr="007A5999">
        <w:t>веществ</w:t>
      </w:r>
      <w:r>
        <w:t>а</w:t>
      </w:r>
      <w:r w:rsidR="0079079E">
        <w:t xml:space="preserve"> (ЛВ)</w:t>
      </w:r>
      <w:r w:rsidRPr="007A5999">
        <w:t xml:space="preserve">. Благодаря этому </w:t>
      </w:r>
      <w:r>
        <w:t>свойству</w:t>
      </w:r>
      <w:r w:rsidRPr="007A5999">
        <w:t xml:space="preserve"> </w:t>
      </w:r>
      <w:r>
        <w:t xml:space="preserve">такие </w:t>
      </w:r>
      <w:r w:rsidR="006A330D">
        <w:t>структуры</w:t>
      </w:r>
      <w:r>
        <w:t xml:space="preserve"> </w:t>
      </w:r>
      <w:r w:rsidRPr="007A5999">
        <w:t xml:space="preserve">нашли </w:t>
      </w:r>
      <w:r>
        <w:t>широкое применение в медицине, фармацевтике и тканевой инженерии. Несмотря на широкое применение амфифильных производных гиалуронана, важны</w:t>
      </w:r>
      <w:r w:rsidR="006A330D">
        <w:t>е</w:t>
      </w:r>
      <w:r>
        <w:t xml:space="preserve"> вопрос</w:t>
      </w:r>
      <w:r w:rsidR="006A330D">
        <w:t>ы</w:t>
      </w:r>
      <w:r>
        <w:t xml:space="preserve"> о стабильности образуемых ими коллоидных структур остаются недостаточно изученными</w:t>
      </w:r>
      <w:r w:rsidR="006A330D">
        <w:t>.</w:t>
      </w:r>
    </w:p>
    <w:p w14:paraId="2BFDF0EF" w14:textId="32B1040F" w:rsidR="00FC2CA6" w:rsidRDefault="00AE45E6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b/>
          <w:bCs/>
          <w:color w:val="000000"/>
        </w:rPr>
        <w:t>Целью</w:t>
      </w:r>
      <w:r>
        <w:rPr>
          <w:color w:val="000000"/>
        </w:rPr>
        <w:t xml:space="preserve"> </w:t>
      </w:r>
      <w:r w:rsidR="0079079E">
        <w:rPr>
          <w:b/>
          <w:bCs/>
          <w:color w:val="000000"/>
        </w:rPr>
        <w:t xml:space="preserve">настоящей работы является </w:t>
      </w:r>
      <w:r w:rsidR="0079079E">
        <w:rPr>
          <w:color w:val="000000"/>
        </w:rPr>
        <w:t xml:space="preserve">изучение </w:t>
      </w:r>
      <w:r w:rsidR="0079079E">
        <w:t>стабильности как ненагруженных, так и нагруженных ги</w:t>
      </w:r>
      <w:r w:rsidR="006A330D">
        <w:t>д</w:t>
      </w:r>
      <w:r w:rsidR="0079079E">
        <w:t xml:space="preserve">рофобными молекулами мицеллярных форм </w:t>
      </w:r>
      <w:proofErr w:type="spellStart"/>
      <w:r w:rsidR="0079079E">
        <w:t>олиелгиалуронана</w:t>
      </w:r>
      <w:proofErr w:type="spellEnd"/>
      <w:r w:rsidR="0079079E">
        <w:t xml:space="preserve"> натрия (ГК-С18:1)</w:t>
      </w:r>
      <w:r w:rsidR="00BC763B">
        <w:t xml:space="preserve"> в водных растворах</w:t>
      </w:r>
      <w:r w:rsidR="0079079E">
        <w:t xml:space="preserve"> путем сравнения критической концентрации мицеллообразования (ККМ)</w:t>
      </w:r>
      <w:r w:rsidR="003825C2" w:rsidRPr="003825C2">
        <w:rPr>
          <w:color w:val="000000"/>
        </w:rPr>
        <w:t>.</w:t>
      </w:r>
    </w:p>
    <w:p w14:paraId="435B3C76" w14:textId="15D252AD" w:rsidR="004A1C43" w:rsidRPr="002D129B" w:rsidRDefault="003825C2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</w:rPr>
      </w:pPr>
      <w:r>
        <w:rPr>
          <w:b/>
          <w:bCs/>
          <w:iCs/>
        </w:rPr>
        <w:t xml:space="preserve">Материалы и методы. </w:t>
      </w:r>
      <w:r w:rsidR="0062542D">
        <w:rPr>
          <w:iCs/>
        </w:rPr>
        <w:t xml:space="preserve">Определение ККМ проводили с использованием методов динамического светорассеяния (ДСР), </w:t>
      </w:r>
      <w:proofErr w:type="spellStart"/>
      <w:r w:rsidR="0062542D">
        <w:rPr>
          <w:iCs/>
        </w:rPr>
        <w:t>спектрофлуориметрии</w:t>
      </w:r>
      <w:proofErr w:type="spellEnd"/>
      <w:r w:rsidR="0062542D">
        <w:rPr>
          <w:iCs/>
        </w:rPr>
        <w:t xml:space="preserve"> (по флуоресценции кумарина 6)</w:t>
      </w:r>
      <w:r w:rsidR="008A2300">
        <w:rPr>
          <w:iCs/>
        </w:rPr>
        <w:t>, измерением поверхностного натяжения (метод висящей капли) и</w:t>
      </w:r>
      <w:r w:rsidR="0062542D">
        <w:rPr>
          <w:iCs/>
        </w:rPr>
        <w:t xml:space="preserve"> изотермической </w:t>
      </w:r>
      <w:proofErr w:type="spellStart"/>
      <w:r w:rsidR="0062542D">
        <w:rPr>
          <w:iCs/>
        </w:rPr>
        <w:t>титрационной</w:t>
      </w:r>
      <w:proofErr w:type="spellEnd"/>
      <w:r w:rsidR="0062542D">
        <w:rPr>
          <w:iCs/>
        </w:rPr>
        <w:t xml:space="preserve"> калориметрии (ИТК)</w:t>
      </w:r>
      <w:r w:rsidR="002D129B">
        <w:rPr>
          <w:iCs/>
        </w:rPr>
        <w:t xml:space="preserve"> для ненагруженных мицелл и методом ДСР для мицелл, нагруженных </w:t>
      </w:r>
      <w:r w:rsidR="0079079E">
        <w:rPr>
          <w:iCs/>
        </w:rPr>
        <w:t>гидрофобными молекулами</w:t>
      </w:r>
      <w:r w:rsidR="002D129B" w:rsidRPr="002D129B">
        <w:rPr>
          <w:iCs/>
        </w:rPr>
        <w:t>.</w:t>
      </w:r>
      <w:r w:rsidR="0079079E">
        <w:rPr>
          <w:iCs/>
        </w:rPr>
        <w:t xml:space="preserve"> В качестве примеров</w:t>
      </w:r>
      <w:r w:rsidR="00793CFA">
        <w:rPr>
          <w:iCs/>
        </w:rPr>
        <w:t xml:space="preserve"> гидрофобных молекул</w:t>
      </w:r>
      <w:r w:rsidR="0079079E">
        <w:rPr>
          <w:iCs/>
        </w:rPr>
        <w:t xml:space="preserve"> использовал</w:t>
      </w:r>
      <w:r w:rsidR="00793CFA">
        <w:rPr>
          <w:iCs/>
        </w:rPr>
        <w:t>и</w:t>
      </w:r>
      <w:r w:rsidR="0079079E">
        <w:rPr>
          <w:iCs/>
        </w:rPr>
        <w:t xml:space="preserve"> 4</w:t>
      </w:r>
      <w:r w:rsidR="0079079E" w:rsidRPr="0079079E">
        <w:rPr>
          <w:iCs/>
        </w:rPr>
        <w:t>`</w:t>
      </w:r>
      <w:r w:rsidR="0079079E">
        <w:rPr>
          <w:iCs/>
        </w:rPr>
        <w:t>о-бензилокси производное этопозида (</w:t>
      </w:r>
      <w:r w:rsidR="0079079E">
        <w:rPr>
          <w:iCs/>
          <w:lang w:val="en-US"/>
        </w:rPr>
        <w:t>ETP</w:t>
      </w:r>
      <w:r w:rsidR="0079079E" w:rsidRPr="0079079E">
        <w:rPr>
          <w:iCs/>
        </w:rPr>
        <w:t>-</w:t>
      </w:r>
      <w:r w:rsidR="0079079E">
        <w:rPr>
          <w:iCs/>
          <w:lang w:val="en-US"/>
        </w:rPr>
        <w:t>Cbz</w:t>
      </w:r>
      <w:r w:rsidR="0079079E" w:rsidRPr="0079079E">
        <w:rPr>
          <w:iCs/>
        </w:rPr>
        <w:t xml:space="preserve">), </w:t>
      </w:r>
      <w:r w:rsidR="0079079E">
        <w:rPr>
          <w:iCs/>
        </w:rPr>
        <w:t>паклитаксел (</w:t>
      </w:r>
      <w:r w:rsidR="0079079E">
        <w:rPr>
          <w:iCs/>
          <w:lang w:val="en-US"/>
        </w:rPr>
        <w:t>PTX</w:t>
      </w:r>
      <w:r w:rsidR="0079079E" w:rsidRPr="0079079E">
        <w:rPr>
          <w:iCs/>
        </w:rPr>
        <w:t xml:space="preserve">) </w:t>
      </w:r>
      <w:r w:rsidR="0079079E">
        <w:rPr>
          <w:iCs/>
        </w:rPr>
        <w:t>и наночастицы суперпарамагнитного оксида железа (</w:t>
      </w:r>
      <w:r w:rsidR="0079079E">
        <w:rPr>
          <w:iCs/>
          <w:lang w:val="en-US"/>
        </w:rPr>
        <w:t>SPION</w:t>
      </w:r>
      <w:r w:rsidR="0079079E" w:rsidRPr="0079079E">
        <w:rPr>
          <w:iCs/>
        </w:rPr>
        <w:t>).</w:t>
      </w:r>
      <w:r w:rsidR="002D129B" w:rsidRPr="002D129B">
        <w:rPr>
          <w:iCs/>
        </w:rPr>
        <w:t xml:space="preserve"> </w:t>
      </w:r>
      <w:r w:rsidR="002D129B">
        <w:rPr>
          <w:iCs/>
        </w:rPr>
        <w:t xml:space="preserve">Загрузка </w:t>
      </w:r>
      <w:r w:rsidR="00F41982">
        <w:rPr>
          <w:iCs/>
          <w:lang w:val="en-US"/>
        </w:rPr>
        <w:t>ETP</w:t>
      </w:r>
      <w:r w:rsidR="00F41982" w:rsidRPr="00F41982">
        <w:rPr>
          <w:iCs/>
        </w:rPr>
        <w:t>-</w:t>
      </w:r>
      <w:r w:rsidR="00F41982">
        <w:rPr>
          <w:iCs/>
          <w:lang w:val="en-US"/>
        </w:rPr>
        <w:t>Cbz</w:t>
      </w:r>
      <w:r w:rsidR="002D129B">
        <w:rPr>
          <w:iCs/>
        </w:rPr>
        <w:t xml:space="preserve"> в мицеллярные формы осуществлялась методом гидратации тонкой пленки</w:t>
      </w:r>
      <w:r w:rsidR="00F41982" w:rsidRPr="00F41982">
        <w:rPr>
          <w:iCs/>
        </w:rPr>
        <w:t xml:space="preserve">, </w:t>
      </w:r>
      <w:r w:rsidR="00F41982">
        <w:rPr>
          <w:iCs/>
        </w:rPr>
        <w:t xml:space="preserve">а </w:t>
      </w:r>
      <w:r w:rsidR="00F41982">
        <w:rPr>
          <w:iCs/>
          <w:lang w:val="en-US"/>
        </w:rPr>
        <w:t>PTX</w:t>
      </w:r>
      <w:r w:rsidR="00F41982" w:rsidRPr="00F41982">
        <w:rPr>
          <w:iCs/>
        </w:rPr>
        <w:t xml:space="preserve"> </w:t>
      </w:r>
      <w:r w:rsidR="00F41982">
        <w:rPr>
          <w:iCs/>
        </w:rPr>
        <w:t xml:space="preserve">и </w:t>
      </w:r>
      <w:r w:rsidR="00F41982">
        <w:rPr>
          <w:iCs/>
          <w:lang w:val="en-US"/>
        </w:rPr>
        <w:t>SPION</w:t>
      </w:r>
      <w:r w:rsidR="00F41982" w:rsidRPr="00F41982">
        <w:rPr>
          <w:iCs/>
        </w:rPr>
        <w:t xml:space="preserve"> </w:t>
      </w:r>
      <w:r w:rsidR="00F41982">
        <w:rPr>
          <w:iCs/>
        </w:rPr>
        <w:t>методом</w:t>
      </w:r>
      <w:r w:rsidR="00F41982" w:rsidRPr="002D129B">
        <w:rPr>
          <w:iCs/>
        </w:rPr>
        <w:t xml:space="preserve"> ультразвуковой</w:t>
      </w:r>
      <w:r w:rsidR="002D129B">
        <w:rPr>
          <w:iCs/>
        </w:rPr>
        <w:t xml:space="preserve"> гомогенизации с упариванием растворителя</w:t>
      </w:r>
      <w:r w:rsidR="00F41982">
        <w:rPr>
          <w:iCs/>
        </w:rPr>
        <w:t>.</w:t>
      </w:r>
    </w:p>
    <w:p w14:paraId="458B2C81" w14:textId="69027D3B" w:rsidR="00FC2CA6" w:rsidRDefault="004A1C43" w:rsidP="00134B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</w:rPr>
      </w:pPr>
      <w:r>
        <w:rPr>
          <w:b/>
          <w:bCs/>
          <w:iCs/>
        </w:rPr>
        <w:t xml:space="preserve">Результаты. </w:t>
      </w:r>
      <w:r w:rsidRPr="004A1C43">
        <w:rPr>
          <w:iCs/>
        </w:rPr>
        <w:t xml:space="preserve"> </w:t>
      </w:r>
      <w:r w:rsidR="00112763">
        <w:rPr>
          <w:iCs/>
        </w:rPr>
        <w:t>Полученные значения ККМ</w:t>
      </w:r>
      <w:r w:rsidR="0046566A">
        <w:rPr>
          <w:iCs/>
        </w:rPr>
        <w:t xml:space="preserve"> для ненагруженных мицелл ГК-С18:1</w:t>
      </w:r>
      <w:r w:rsidR="00112763">
        <w:rPr>
          <w:iCs/>
        </w:rPr>
        <w:t xml:space="preserve"> приведены в таблице 1. </w:t>
      </w:r>
      <w:r w:rsidR="0046566A">
        <w:rPr>
          <w:iCs/>
        </w:rPr>
        <w:t>Различие в ККМ обусловлено физико-химическими основами методов измерения</w:t>
      </w:r>
      <w:r w:rsidR="00103A9B">
        <w:rPr>
          <w:iCs/>
        </w:rPr>
        <w:t xml:space="preserve">, </w:t>
      </w:r>
      <w:r w:rsidR="00103A9B" w:rsidRPr="004316FB">
        <w:rPr>
          <w:iCs/>
        </w:rPr>
        <w:t>которые позволяют устанавливать различные этапы самоорганизации</w:t>
      </w:r>
      <w:r w:rsidR="0046566A">
        <w:rPr>
          <w:iCs/>
        </w:rPr>
        <w:t xml:space="preserve">. </w:t>
      </w:r>
      <w:r w:rsidR="00F656B7">
        <w:rPr>
          <w:iCs/>
        </w:rPr>
        <w:t>Н</w:t>
      </w:r>
      <w:r w:rsidR="0046566A">
        <w:rPr>
          <w:iCs/>
        </w:rPr>
        <w:t xml:space="preserve">аиболее точным методом является ИТК, </w:t>
      </w:r>
      <w:r w:rsidR="00F656B7">
        <w:rPr>
          <w:iCs/>
        </w:rPr>
        <w:t>так как</w:t>
      </w:r>
      <w:r w:rsidR="0046566A">
        <w:rPr>
          <w:iCs/>
        </w:rPr>
        <w:t xml:space="preserve"> отражает изменения в выделяемой теплоте из-за диссоциации мицелл </w:t>
      </w:r>
      <w:r w:rsidR="00F656B7">
        <w:rPr>
          <w:iCs/>
        </w:rPr>
        <w:t xml:space="preserve">в растворе </w:t>
      </w:r>
      <w:r w:rsidR="00DF3901">
        <w:rPr>
          <w:iCs/>
        </w:rPr>
        <w:t>и определяет минимальн</w:t>
      </w:r>
      <w:r w:rsidR="00F656B7">
        <w:rPr>
          <w:iCs/>
        </w:rPr>
        <w:t>ую</w:t>
      </w:r>
      <w:r w:rsidR="00DF3901">
        <w:rPr>
          <w:iCs/>
        </w:rPr>
        <w:t xml:space="preserve"> концентрацию, при которой </w:t>
      </w:r>
      <w:r w:rsidR="00F656B7">
        <w:rPr>
          <w:iCs/>
        </w:rPr>
        <w:t>полимерные цепочки ассоциированы в мицеллы</w:t>
      </w:r>
      <w:r w:rsidR="0046566A">
        <w:rPr>
          <w:iCs/>
        </w:rPr>
        <w:t xml:space="preserve">. </w:t>
      </w:r>
    </w:p>
    <w:p w14:paraId="14E463CC" w14:textId="0A739AA8" w:rsidR="00112763" w:rsidRDefault="00112763" w:rsidP="00134B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</w:rPr>
      </w:pPr>
      <w:r>
        <w:rPr>
          <w:iCs/>
        </w:rPr>
        <w:t>Таблица 1. ККМ мицелл ГК-С18:1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08"/>
        <w:gridCol w:w="4566"/>
      </w:tblGrid>
      <w:tr w:rsidR="00112763" w:rsidRPr="001E43BC" w14:paraId="488D0694" w14:textId="77777777" w:rsidTr="0046566A">
        <w:tc>
          <w:tcPr>
            <w:tcW w:w="4608" w:type="dxa"/>
          </w:tcPr>
          <w:p w14:paraId="26D50CBC" w14:textId="682631B2" w:rsidR="00112763" w:rsidRPr="00112763" w:rsidRDefault="00112763" w:rsidP="00AE468F">
            <w:pPr>
              <w:jc w:val="center"/>
              <w:rPr>
                <w:color w:val="00B050"/>
              </w:rPr>
            </w:pPr>
            <w:r>
              <w:t>Метод измерения</w:t>
            </w:r>
          </w:p>
        </w:tc>
        <w:tc>
          <w:tcPr>
            <w:tcW w:w="4566" w:type="dxa"/>
          </w:tcPr>
          <w:p w14:paraId="565651CD" w14:textId="4A846E85" w:rsidR="00112763" w:rsidRPr="00112763" w:rsidRDefault="00112763" w:rsidP="00AE468F">
            <w:pPr>
              <w:jc w:val="center"/>
              <w:rPr>
                <w:color w:val="00B050"/>
              </w:rPr>
            </w:pPr>
            <w:r>
              <w:t>Значение ККМ, мг/мл</w:t>
            </w:r>
          </w:p>
        </w:tc>
      </w:tr>
      <w:tr w:rsidR="00112763" w:rsidRPr="001E43BC" w14:paraId="573F1BD4" w14:textId="77777777" w:rsidTr="0046566A">
        <w:tc>
          <w:tcPr>
            <w:tcW w:w="4608" w:type="dxa"/>
          </w:tcPr>
          <w:p w14:paraId="65424530" w14:textId="3042D536" w:rsidR="00112763" w:rsidRPr="00786DFA" w:rsidRDefault="00786DFA" w:rsidP="00AE468F">
            <w:pPr>
              <w:jc w:val="center"/>
            </w:pPr>
            <w:r w:rsidRPr="00786DFA">
              <w:t>ДСР</w:t>
            </w:r>
          </w:p>
        </w:tc>
        <w:tc>
          <w:tcPr>
            <w:tcW w:w="4566" w:type="dxa"/>
          </w:tcPr>
          <w:p w14:paraId="3A653215" w14:textId="36B819A6" w:rsidR="00112763" w:rsidRPr="00786DFA" w:rsidRDefault="00786DFA" w:rsidP="00AE468F">
            <w:pPr>
              <w:jc w:val="center"/>
              <w:rPr>
                <w:lang w:val="en-US"/>
              </w:rPr>
            </w:pPr>
            <w:r>
              <w:t>0,0</w:t>
            </w:r>
            <w:r w:rsidR="00112763" w:rsidRPr="00786DFA">
              <w:rPr>
                <w:lang w:val="en-US"/>
              </w:rPr>
              <w:t>79 ±</w:t>
            </w:r>
            <w:r>
              <w:t xml:space="preserve"> 0,003</w:t>
            </w:r>
          </w:p>
        </w:tc>
      </w:tr>
      <w:tr w:rsidR="00112763" w:rsidRPr="001E43BC" w14:paraId="5875C60A" w14:textId="77777777" w:rsidTr="0046566A">
        <w:tc>
          <w:tcPr>
            <w:tcW w:w="4608" w:type="dxa"/>
          </w:tcPr>
          <w:p w14:paraId="2B1B89CE" w14:textId="795D1274" w:rsidR="00112763" w:rsidRPr="00786DFA" w:rsidRDefault="00786DFA" w:rsidP="00AE468F">
            <w:pPr>
              <w:jc w:val="center"/>
            </w:pPr>
            <w:proofErr w:type="spellStart"/>
            <w:r>
              <w:t>Спектрофлуориметрия</w:t>
            </w:r>
            <w:proofErr w:type="spellEnd"/>
          </w:p>
        </w:tc>
        <w:tc>
          <w:tcPr>
            <w:tcW w:w="4566" w:type="dxa"/>
          </w:tcPr>
          <w:p w14:paraId="5A826BFE" w14:textId="4359AE75" w:rsidR="00112763" w:rsidRPr="00786DFA" w:rsidRDefault="00786DFA" w:rsidP="00AE468F">
            <w:pPr>
              <w:jc w:val="center"/>
              <w:rPr>
                <w:lang w:val="en-US"/>
              </w:rPr>
            </w:pPr>
            <w:r>
              <w:t>0,0</w:t>
            </w:r>
            <w:r w:rsidRPr="00786DFA">
              <w:rPr>
                <w:lang w:val="en-US"/>
              </w:rPr>
              <w:t>7</w:t>
            </w:r>
            <w:r>
              <w:t>1</w:t>
            </w:r>
            <w:r w:rsidRPr="00786DFA">
              <w:rPr>
                <w:lang w:val="en-US"/>
              </w:rPr>
              <w:t xml:space="preserve"> ±</w:t>
            </w:r>
            <w:r>
              <w:t xml:space="preserve"> 0,002</w:t>
            </w:r>
          </w:p>
        </w:tc>
      </w:tr>
      <w:tr w:rsidR="00112763" w:rsidRPr="001E43BC" w14:paraId="2D46F8DB" w14:textId="77777777" w:rsidTr="0046566A">
        <w:tc>
          <w:tcPr>
            <w:tcW w:w="4608" w:type="dxa"/>
          </w:tcPr>
          <w:p w14:paraId="393B5483" w14:textId="0F00F873" w:rsidR="00112763" w:rsidRPr="00786DFA" w:rsidRDefault="00786DFA" w:rsidP="00AE468F">
            <w:pPr>
              <w:jc w:val="center"/>
            </w:pPr>
            <w:r>
              <w:t>Метод висящей капли</w:t>
            </w:r>
          </w:p>
        </w:tc>
        <w:tc>
          <w:tcPr>
            <w:tcW w:w="4566" w:type="dxa"/>
          </w:tcPr>
          <w:p w14:paraId="3425E821" w14:textId="177559C8" w:rsidR="00112763" w:rsidRPr="00786DFA" w:rsidRDefault="00786DFA" w:rsidP="00AE468F">
            <w:pPr>
              <w:jc w:val="center"/>
            </w:pPr>
            <w:r>
              <w:t xml:space="preserve">0,140 </w:t>
            </w:r>
            <w:r w:rsidRPr="00786DFA">
              <w:rPr>
                <w:lang w:val="en-US"/>
              </w:rPr>
              <w:t>±</w:t>
            </w:r>
            <w:r>
              <w:t xml:space="preserve"> 0,017 </w:t>
            </w:r>
          </w:p>
        </w:tc>
      </w:tr>
      <w:tr w:rsidR="00112763" w:rsidRPr="001E43BC" w14:paraId="647975BE" w14:textId="77777777" w:rsidTr="0046566A">
        <w:tc>
          <w:tcPr>
            <w:tcW w:w="4608" w:type="dxa"/>
          </w:tcPr>
          <w:p w14:paraId="16C5AC3F" w14:textId="7B6D5C86" w:rsidR="00112763" w:rsidRPr="00786DFA" w:rsidRDefault="00786DFA" w:rsidP="00AE468F">
            <w:pPr>
              <w:jc w:val="center"/>
            </w:pPr>
            <w:r>
              <w:t>ИТК</w:t>
            </w:r>
          </w:p>
        </w:tc>
        <w:tc>
          <w:tcPr>
            <w:tcW w:w="4566" w:type="dxa"/>
          </w:tcPr>
          <w:p w14:paraId="386DB9B0" w14:textId="41FD9A05" w:rsidR="00112763" w:rsidRPr="00786DFA" w:rsidRDefault="00786DFA" w:rsidP="00AE468F">
            <w:pPr>
              <w:jc w:val="center"/>
            </w:pPr>
            <w:r w:rsidRPr="00786DFA">
              <w:rPr>
                <w:lang w:val="en-US"/>
              </w:rPr>
              <w:t>0,04</w:t>
            </w:r>
            <w:r>
              <w:t>0</w:t>
            </w:r>
            <w:r w:rsidRPr="00786DFA">
              <w:rPr>
                <w:lang w:val="en-US"/>
              </w:rPr>
              <w:t xml:space="preserve"> ± 0,0</w:t>
            </w:r>
            <w:r>
              <w:t>2</w:t>
            </w:r>
            <w:r w:rsidR="00103A9B">
              <w:t>0</w:t>
            </w:r>
          </w:p>
        </w:tc>
      </w:tr>
    </w:tbl>
    <w:p w14:paraId="53B67437" w14:textId="7427A4CD" w:rsidR="00112763" w:rsidRPr="0046566A" w:rsidRDefault="0046566A" w:rsidP="00134B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</w:rPr>
      </w:pPr>
      <w:r>
        <w:t xml:space="preserve">Загрузка в мицеллы гидрофобных молекул, в том числе ЛВ, может способствовать стабилизации мицелл. </w:t>
      </w:r>
      <w:r w:rsidRPr="0046566A">
        <w:t>Из полученных</w:t>
      </w:r>
      <w:r>
        <w:t xml:space="preserve"> методом ДСР</w:t>
      </w:r>
      <w:r w:rsidRPr="0046566A">
        <w:t xml:space="preserve"> данных следует, </w:t>
      </w:r>
      <w:r w:rsidR="0079079E">
        <w:t>что</w:t>
      </w:r>
      <w:r w:rsidRPr="0046566A">
        <w:t xml:space="preserve"> наименьшее значение ККМ имеют мицеллярные структуры, загруженные SPION (4 </w:t>
      </w:r>
      <w:r w:rsidR="0079079E">
        <w:t>мкг</w:t>
      </w:r>
      <w:r w:rsidRPr="0046566A">
        <w:t>/</w:t>
      </w:r>
      <w:r w:rsidR="0079079E">
        <w:t>мл</w:t>
      </w:r>
      <w:r w:rsidRPr="0046566A">
        <w:t xml:space="preserve">), наибольшее – пустые мицеллы ГК-С18:1 (79 </w:t>
      </w:r>
      <w:r w:rsidR="0079079E">
        <w:t>мкг</w:t>
      </w:r>
      <w:r w:rsidRPr="0046566A">
        <w:t>/</w:t>
      </w:r>
      <w:r w:rsidR="0079079E">
        <w:t>мл</w:t>
      </w:r>
      <w:r w:rsidRPr="0046566A">
        <w:t>), при этом мицеллы, нагруженные более гидрофобным ЛВ PTX обладали в 4 раза меньшим значением ККМ, чем нагруженные ETP-Cbz</w:t>
      </w:r>
      <w:r w:rsidR="0079079E">
        <w:t xml:space="preserve"> (</w:t>
      </w:r>
      <w:r w:rsidR="0077323F">
        <w:t xml:space="preserve">6 мкг/мл против </w:t>
      </w:r>
      <w:r w:rsidR="0079079E">
        <w:t>25 мкг/мл)</w:t>
      </w:r>
      <w:r w:rsidRPr="0046566A">
        <w:t>.</w:t>
      </w:r>
    </w:p>
    <w:p w14:paraId="05371847" w14:textId="363D7133" w:rsidR="0079079E" w:rsidRDefault="009338A1" w:rsidP="00624D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b/>
          <w:bCs/>
          <w:color w:val="000000"/>
        </w:rPr>
        <w:t xml:space="preserve">Заключение. </w:t>
      </w:r>
      <w:r w:rsidR="0079079E" w:rsidRPr="0079079E">
        <w:rPr>
          <w:color w:val="000000"/>
        </w:rPr>
        <w:t xml:space="preserve">Полученные результаты свидетельствуют о </w:t>
      </w:r>
      <w:r w:rsidR="00F41982">
        <w:rPr>
          <w:color w:val="000000"/>
        </w:rPr>
        <w:t>необходимости применения различных физико-химических методов для комплексной оценки стабильности нагруженных и ненагруженных мицеллярных структур.</w:t>
      </w:r>
    </w:p>
    <w:p w14:paraId="32D50ED4" w14:textId="07C94885" w:rsidR="00964D5F" w:rsidRPr="00F41982" w:rsidRDefault="00C93866" w:rsidP="00F419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5A2879">
        <w:rPr>
          <w:i/>
          <w:iCs/>
          <w:color w:val="000000"/>
        </w:rPr>
        <w:t>Работа выполнена при финансовой поддержке Министерства науки и высшего образования РФ в рамках государственного за</w:t>
      </w:r>
      <w:r w:rsidRPr="00AF0398">
        <w:rPr>
          <w:i/>
          <w:iCs/>
          <w:color w:val="000000"/>
        </w:rPr>
        <w:t>дания (проект FSSM-202</w:t>
      </w:r>
      <w:r w:rsidR="00AF0398" w:rsidRPr="00AF0398">
        <w:rPr>
          <w:i/>
          <w:iCs/>
          <w:color w:val="000000"/>
        </w:rPr>
        <w:t>5</w:t>
      </w:r>
      <w:r w:rsidRPr="00AF0398">
        <w:rPr>
          <w:i/>
          <w:iCs/>
          <w:color w:val="000000"/>
        </w:rPr>
        <w:t>-000</w:t>
      </w:r>
      <w:r w:rsidR="00AF0398" w:rsidRPr="00AF0398">
        <w:rPr>
          <w:i/>
          <w:iCs/>
          <w:color w:val="000000"/>
        </w:rPr>
        <w:t>2</w:t>
      </w:r>
      <w:r w:rsidRPr="00AF0398">
        <w:rPr>
          <w:i/>
          <w:iCs/>
          <w:color w:val="000000"/>
        </w:rPr>
        <w:t>)</w:t>
      </w:r>
      <w:r w:rsidR="00F41982">
        <w:rPr>
          <w:i/>
          <w:iCs/>
          <w:color w:val="000000"/>
        </w:rPr>
        <w:t>.</w:t>
      </w:r>
    </w:p>
    <w:sectPr w:rsidR="00964D5F" w:rsidRPr="00F4198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0F0D"/>
    <w:rsid w:val="00046F83"/>
    <w:rsid w:val="00063966"/>
    <w:rsid w:val="00075D6E"/>
    <w:rsid w:val="00086081"/>
    <w:rsid w:val="0009449A"/>
    <w:rsid w:val="00094FD0"/>
    <w:rsid w:val="000E334E"/>
    <w:rsid w:val="00101A1C"/>
    <w:rsid w:val="00103657"/>
    <w:rsid w:val="00103A9B"/>
    <w:rsid w:val="00106375"/>
    <w:rsid w:val="00107AA3"/>
    <w:rsid w:val="00112763"/>
    <w:rsid w:val="00116478"/>
    <w:rsid w:val="00130241"/>
    <w:rsid w:val="00134B11"/>
    <w:rsid w:val="001E61C2"/>
    <w:rsid w:val="001F0493"/>
    <w:rsid w:val="002102E9"/>
    <w:rsid w:val="0022260A"/>
    <w:rsid w:val="002264EE"/>
    <w:rsid w:val="0023307C"/>
    <w:rsid w:val="00241B33"/>
    <w:rsid w:val="002D0751"/>
    <w:rsid w:val="002D129B"/>
    <w:rsid w:val="0031361E"/>
    <w:rsid w:val="00367B40"/>
    <w:rsid w:val="003825C2"/>
    <w:rsid w:val="00391C38"/>
    <w:rsid w:val="003B76D6"/>
    <w:rsid w:val="003E2601"/>
    <w:rsid w:val="003F4E6B"/>
    <w:rsid w:val="004316FB"/>
    <w:rsid w:val="00461363"/>
    <w:rsid w:val="0046566A"/>
    <w:rsid w:val="004A1C43"/>
    <w:rsid w:val="004A26A3"/>
    <w:rsid w:val="004F0EDF"/>
    <w:rsid w:val="00505719"/>
    <w:rsid w:val="00522BF1"/>
    <w:rsid w:val="00590166"/>
    <w:rsid w:val="005D022B"/>
    <w:rsid w:val="005E5BE9"/>
    <w:rsid w:val="00624DC6"/>
    <w:rsid w:val="0062542D"/>
    <w:rsid w:val="00635558"/>
    <w:rsid w:val="00683796"/>
    <w:rsid w:val="0069427D"/>
    <w:rsid w:val="006A330D"/>
    <w:rsid w:val="006C3568"/>
    <w:rsid w:val="006E6ED2"/>
    <w:rsid w:val="006F7A19"/>
    <w:rsid w:val="007070BB"/>
    <w:rsid w:val="007213E1"/>
    <w:rsid w:val="0077323F"/>
    <w:rsid w:val="00775389"/>
    <w:rsid w:val="00786DFA"/>
    <w:rsid w:val="0079079E"/>
    <w:rsid w:val="00793CFA"/>
    <w:rsid w:val="00797838"/>
    <w:rsid w:val="007B573F"/>
    <w:rsid w:val="007C36D8"/>
    <w:rsid w:val="007F2744"/>
    <w:rsid w:val="008931BE"/>
    <w:rsid w:val="008A2300"/>
    <w:rsid w:val="008C67E3"/>
    <w:rsid w:val="00914205"/>
    <w:rsid w:val="00921D45"/>
    <w:rsid w:val="009338A1"/>
    <w:rsid w:val="009426C0"/>
    <w:rsid w:val="00964D5F"/>
    <w:rsid w:val="00980A65"/>
    <w:rsid w:val="009A66DB"/>
    <w:rsid w:val="009B2F80"/>
    <w:rsid w:val="009B3300"/>
    <w:rsid w:val="009C04DA"/>
    <w:rsid w:val="009F3380"/>
    <w:rsid w:val="00A02163"/>
    <w:rsid w:val="00A314FE"/>
    <w:rsid w:val="00A50136"/>
    <w:rsid w:val="00AD7380"/>
    <w:rsid w:val="00AE45E6"/>
    <w:rsid w:val="00AF0398"/>
    <w:rsid w:val="00B61406"/>
    <w:rsid w:val="00BC763B"/>
    <w:rsid w:val="00BF36F8"/>
    <w:rsid w:val="00BF4622"/>
    <w:rsid w:val="00C844E2"/>
    <w:rsid w:val="00C93866"/>
    <w:rsid w:val="00CD00B1"/>
    <w:rsid w:val="00CE4015"/>
    <w:rsid w:val="00D22306"/>
    <w:rsid w:val="00D4216D"/>
    <w:rsid w:val="00D42542"/>
    <w:rsid w:val="00D8121C"/>
    <w:rsid w:val="00DE69AA"/>
    <w:rsid w:val="00DF3901"/>
    <w:rsid w:val="00E22189"/>
    <w:rsid w:val="00E74069"/>
    <w:rsid w:val="00E81D35"/>
    <w:rsid w:val="00EB1F49"/>
    <w:rsid w:val="00EC62F6"/>
    <w:rsid w:val="00F41982"/>
    <w:rsid w:val="00F656B7"/>
    <w:rsid w:val="00F865B3"/>
    <w:rsid w:val="00FB1509"/>
    <w:rsid w:val="00FC2CA6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62542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62542D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ae">
    <w:name w:val="Текст примечания Знак"/>
    <w:basedOn w:val="a0"/>
    <w:link w:val="ad"/>
    <w:uiPriority w:val="99"/>
    <w:rsid w:val="0062542D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table" w:styleId="af">
    <w:name w:val="Table Grid"/>
    <w:basedOn w:val="a1"/>
    <w:uiPriority w:val="39"/>
    <w:rsid w:val="0011276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annotation subject"/>
    <w:basedOn w:val="ad"/>
    <w:next w:val="ad"/>
    <w:link w:val="af1"/>
    <w:uiPriority w:val="99"/>
    <w:semiHidden/>
    <w:unhideWhenUsed/>
    <w:rsid w:val="00103A9B"/>
    <w:pPr>
      <w:spacing w:after="0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character" w:customStyle="1" w:styleId="af1">
    <w:name w:val="Тема примечания Знак"/>
    <w:basedOn w:val="ae"/>
    <w:link w:val="af0"/>
    <w:uiPriority w:val="99"/>
    <w:semiHidden/>
    <w:rsid w:val="00103A9B"/>
    <w:rPr>
      <w:rFonts w:ascii="Times New Roman" w:eastAsia="Times New Roman" w:hAnsi="Times New Roman" w:cs="Times New Roman"/>
      <w:b/>
      <w:bCs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2531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12</cp:revision>
  <dcterms:created xsi:type="dcterms:W3CDTF">2026-03-05T12:53:00Z</dcterms:created>
  <dcterms:modified xsi:type="dcterms:W3CDTF">2026-03-09T14:24:00Z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