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EBF1" w14:textId="7618BB28" w:rsidR="00726B66" w:rsidRPr="003E6975" w:rsidRDefault="00726B66" w:rsidP="003E6975">
      <w:pPr>
        <w:pStyle w:val="p1"/>
        <w:jc w:val="center"/>
        <w:rPr>
          <w:b/>
          <w:color w:val="000000" w:themeColor="text1"/>
          <w:sz w:val="24"/>
          <w:szCs w:val="24"/>
        </w:rPr>
      </w:pPr>
      <w:r w:rsidRPr="003E6975">
        <w:rPr>
          <w:b/>
          <w:color w:val="000000" w:themeColor="text1"/>
          <w:sz w:val="24"/>
          <w:szCs w:val="24"/>
        </w:rPr>
        <w:t xml:space="preserve">Амперометрические </w:t>
      </w:r>
      <w:proofErr w:type="spellStart"/>
      <w:r w:rsidRPr="003E6975">
        <w:rPr>
          <w:b/>
          <w:color w:val="000000" w:themeColor="text1"/>
          <w:sz w:val="24"/>
          <w:szCs w:val="24"/>
        </w:rPr>
        <w:t>тирозиназные</w:t>
      </w:r>
      <w:proofErr w:type="spellEnd"/>
      <w:r w:rsidRPr="003E6975">
        <w:rPr>
          <w:b/>
          <w:color w:val="000000" w:themeColor="text1"/>
          <w:sz w:val="24"/>
          <w:szCs w:val="24"/>
        </w:rPr>
        <w:t xml:space="preserve"> биосенсоры</w:t>
      </w:r>
      <w:r w:rsidR="003E6975" w:rsidRPr="003E6975">
        <w:rPr>
          <w:b/>
          <w:color w:val="000000" w:themeColor="text1"/>
          <w:sz w:val="24"/>
          <w:szCs w:val="24"/>
        </w:rPr>
        <w:t xml:space="preserve"> </w:t>
      </w:r>
      <w:r w:rsidRPr="003E6975">
        <w:rPr>
          <w:b/>
          <w:color w:val="000000" w:themeColor="text1"/>
          <w:sz w:val="24"/>
          <w:szCs w:val="24"/>
        </w:rPr>
        <w:t>модифицированные структурированными наноматериалами</w:t>
      </w:r>
      <w:r w:rsidR="003E6975" w:rsidRPr="003E6975">
        <w:rPr>
          <w:b/>
          <w:color w:val="000000" w:themeColor="text1"/>
          <w:sz w:val="24"/>
          <w:szCs w:val="24"/>
        </w:rPr>
        <w:t xml:space="preserve"> </w:t>
      </w:r>
      <w:r w:rsidRPr="003E6975">
        <w:rPr>
          <w:b/>
          <w:color w:val="000000" w:themeColor="text1"/>
          <w:sz w:val="24"/>
          <w:szCs w:val="24"/>
        </w:rPr>
        <w:t>для определения ванилилминдальной кислоты, как маркера нейроэндокринных опухолей</w:t>
      </w:r>
      <w:r w:rsidRPr="003E6975">
        <w:rPr>
          <w:b/>
          <w:iCs/>
          <w:color w:val="000000" w:themeColor="text1"/>
          <w:sz w:val="24"/>
          <w:szCs w:val="24"/>
        </w:rPr>
        <w:t>.</w:t>
      </w:r>
    </w:p>
    <w:p w14:paraId="21DD598A" w14:textId="77777777" w:rsidR="00726B66" w:rsidRDefault="00726B66" w:rsidP="000C546E">
      <w:pPr>
        <w:pStyle w:val="p1"/>
        <w:ind w:firstLine="397"/>
        <w:jc w:val="center"/>
        <w:rPr>
          <w:b/>
          <w:bCs/>
          <w:i/>
          <w:iCs/>
          <w:sz w:val="24"/>
          <w:szCs w:val="24"/>
        </w:rPr>
      </w:pPr>
      <w:proofErr w:type="spellStart"/>
      <w:r w:rsidRPr="00151E6C">
        <w:rPr>
          <w:b/>
          <w:bCs/>
          <w:i/>
          <w:iCs/>
          <w:sz w:val="24"/>
          <w:szCs w:val="24"/>
        </w:rPr>
        <w:t>Куксенок</w:t>
      </w:r>
      <w:proofErr w:type="spellEnd"/>
      <w:r w:rsidRPr="00151E6C">
        <w:rPr>
          <w:b/>
          <w:bCs/>
          <w:i/>
          <w:iCs/>
          <w:sz w:val="24"/>
          <w:szCs w:val="24"/>
        </w:rPr>
        <w:t xml:space="preserve"> А.А</w:t>
      </w:r>
      <w:r>
        <w:rPr>
          <w:b/>
          <w:bCs/>
          <w:i/>
          <w:iCs/>
          <w:sz w:val="24"/>
          <w:szCs w:val="24"/>
        </w:rPr>
        <w:t>.</w:t>
      </w:r>
      <w:r w:rsidRPr="00151E6C"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z w:val="24"/>
          <w:szCs w:val="24"/>
        </w:rPr>
        <w:t xml:space="preserve"> </w:t>
      </w:r>
      <w:r w:rsidRPr="00151E6C">
        <w:rPr>
          <w:b/>
          <w:bCs/>
          <w:i/>
          <w:iCs/>
          <w:sz w:val="24"/>
          <w:szCs w:val="24"/>
        </w:rPr>
        <w:t xml:space="preserve">Бейлинсон Р.М., </w:t>
      </w:r>
      <w:proofErr w:type="spellStart"/>
      <w:r w:rsidRPr="00151E6C">
        <w:rPr>
          <w:b/>
          <w:bCs/>
          <w:i/>
          <w:iCs/>
          <w:sz w:val="24"/>
          <w:szCs w:val="24"/>
        </w:rPr>
        <w:t>Медянцева</w:t>
      </w:r>
      <w:proofErr w:type="spellEnd"/>
      <w:r w:rsidRPr="00151E6C">
        <w:rPr>
          <w:b/>
          <w:bCs/>
          <w:i/>
          <w:iCs/>
          <w:sz w:val="24"/>
          <w:szCs w:val="24"/>
        </w:rPr>
        <w:t xml:space="preserve"> Э.П</w:t>
      </w:r>
      <w:r>
        <w:rPr>
          <w:b/>
          <w:bCs/>
          <w:i/>
          <w:iCs/>
          <w:sz w:val="24"/>
          <w:szCs w:val="24"/>
        </w:rPr>
        <w:t>.</w:t>
      </w:r>
    </w:p>
    <w:p w14:paraId="43C0C692" w14:textId="77777777" w:rsidR="00726B66" w:rsidRPr="00151E6C" w:rsidRDefault="00726B66" w:rsidP="000C546E">
      <w:pPr>
        <w:pStyle w:val="p1"/>
        <w:ind w:firstLine="397"/>
        <w:jc w:val="center"/>
        <w:rPr>
          <w:sz w:val="40"/>
          <w:szCs w:val="40"/>
        </w:rPr>
      </w:pPr>
      <w:r w:rsidRPr="00151E6C">
        <w:rPr>
          <w:i/>
          <w:sz w:val="24"/>
          <w:szCs w:val="24"/>
        </w:rPr>
        <w:t xml:space="preserve">Студент, </w:t>
      </w:r>
      <w:r>
        <w:rPr>
          <w:i/>
          <w:sz w:val="24"/>
          <w:szCs w:val="24"/>
        </w:rPr>
        <w:t>5</w:t>
      </w:r>
      <w:r w:rsidRPr="00151E6C">
        <w:rPr>
          <w:i/>
          <w:sz w:val="24"/>
          <w:szCs w:val="24"/>
        </w:rPr>
        <w:t xml:space="preserve"> курс специалитета</w:t>
      </w:r>
    </w:p>
    <w:p w14:paraId="558E94CC" w14:textId="77777777" w:rsidR="00726B66" w:rsidRPr="00151E6C" w:rsidRDefault="00726B66" w:rsidP="000C546E">
      <w:pPr>
        <w:pStyle w:val="p1"/>
        <w:ind w:firstLine="397"/>
        <w:jc w:val="center"/>
        <w:rPr>
          <w:sz w:val="24"/>
          <w:szCs w:val="24"/>
        </w:rPr>
      </w:pPr>
      <w:r w:rsidRPr="00151E6C">
        <w:rPr>
          <w:i/>
          <w:iCs/>
          <w:sz w:val="24"/>
          <w:szCs w:val="24"/>
        </w:rPr>
        <w:t>Казанский (Приволжский)Федеральный Университет, Казань, Россия</w:t>
      </w:r>
    </w:p>
    <w:p w14:paraId="59EF3411" w14:textId="77777777" w:rsidR="00726B66" w:rsidRDefault="00726B66" w:rsidP="000C546E">
      <w:pPr>
        <w:pStyle w:val="p1"/>
        <w:ind w:firstLine="397"/>
        <w:jc w:val="center"/>
        <w:rPr>
          <w:i/>
          <w:iCs/>
          <w:sz w:val="24"/>
          <w:szCs w:val="24"/>
        </w:rPr>
      </w:pPr>
      <w:r w:rsidRPr="00151E6C">
        <w:rPr>
          <w:i/>
          <w:iCs/>
          <w:sz w:val="24"/>
          <w:szCs w:val="24"/>
          <w:lang w:val="en-US"/>
        </w:rPr>
        <w:t>E</w:t>
      </w:r>
      <w:r w:rsidRPr="00151E6C">
        <w:rPr>
          <w:i/>
          <w:iCs/>
          <w:sz w:val="24"/>
          <w:szCs w:val="24"/>
        </w:rPr>
        <w:t>-</w:t>
      </w:r>
      <w:r w:rsidRPr="00151E6C">
        <w:rPr>
          <w:i/>
          <w:iCs/>
          <w:sz w:val="24"/>
          <w:szCs w:val="24"/>
          <w:lang w:val="en-US"/>
        </w:rPr>
        <w:t>mail</w:t>
      </w:r>
      <w:r w:rsidRPr="00151E6C">
        <w:rPr>
          <w:i/>
          <w:iCs/>
          <w:sz w:val="24"/>
          <w:szCs w:val="24"/>
        </w:rPr>
        <w:t xml:space="preserve">: </w:t>
      </w:r>
      <w:hyperlink r:id="rId4" w:history="1">
        <w:r w:rsidRPr="00151E6C">
          <w:rPr>
            <w:rStyle w:val="ac"/>
            <w:i/>
            <w:iCs/>
            <w:sz w:val="24"/>
            <w:szCs w:val="24"/>
            <w:lang w:val="en-US"/>
          </w:rPr>
          <w:t>angrlina</w:t>
        </w:r>
        <w:r w:rsidRPr="00151E6C">
          <w:rPr>
            <w:rStyle w:val="ac"/>
            <w:i/>
            <w:iCs/>
            <w:sz w:val="24"/>
            <w:szCs w:val="24"/>
          </w:rPr>
          <w:t>93@</w:t>
        </w:r>
        <w:r w:rsidRPr="00151E6C">
          <w:rPr>
            <w:rStyle w:val="ac"/>
            <w:i/>
            <w:iCs/>
            <w:sz w:val="24"/>
            <w:szCs w:val="24"/>
            <w:lang w:val="en-US"/>
          </w:rPr>
          <w:t>gmail</w:t>
        </w:r>
        <w:r w:rsidRPr="00151E6C">
          <w:rPr>
            <w:rStyle w:val="ac"/>
            <w:i/>
            <w:iCs/>
            <w:sz w:val="24"/>
            <w:szCs w:val="24"/>
          </w:rPr>
          <w:t>.</w:t>
        </w:r>
        <w:r w:rsidRPr="00151E6C">
          <w:rPr>
            <w:rStyle w:val="ac"/>
            <w:i/>
            <w:iCs/>
            <w:sz w:val="24"/>
            <w:szCs w:val="24"/>
            <w:lang w:val="en-US"/>
          </w:rPr>
          <w:t>com</w:t>
        </w:r>
      </w:hyperlink>
    </w:p>
    <w:p w14:paraId="48AD67D6" w14:textId="02FF09AA" w:rsidR="00726B66" w:rsidRPr="005A305C" w:rsidRDefault="00726B66" w:rsidP="003E6975">
      <w:pPr>
        <w:pStyle w:val="p1"/>
        <w:ind w:firstLine="397"/>
        <w:jc w:val="both"/>
        <w:rPr>
          <w:i/>
          <w:iCs/>
          <w:sz w:val="24"/>
          <w:szCs w:val="24"/>
        </w:rPr>
      </w:pPr>
      <w:r w:rsidRPr="005A305C">
        <w:rPr>
          <w:sz w:val="24"/>
          <w:szCs w:val="24"/>
        </w:rPr>
        <w:t>В настоящее время анализ на биомаркеры является важным инструментом для диагностики онкологических заболеваний</w:t>
      </w:r>
      <w:r w:rsidR="00166175" w:rsidRPr="005A305C">
        <w:rPr>
          <w:sz w:val="24"/>
          <w:szCs w:val="24"/>
        </w:rPr>
        <w:t xml:space="preserve">. </w:t>
      </w:r>
      <w:r w:rsidRPr="005A305C">
        <w:rPr>
          <w:sz w:val="24"/>
          <w:szCs w:val="24"/>
        </w:rPr>
        <w:t>Повышенная концентрация специфических биомаркеров свидетельствует о возможном наличии опухолевого процесса</w:t>
      </w:r>
      <w:r w:rsidR="00166175" w:rsidRPr="005A305C">
        <w:rPr>
          <w:sz w:val="24"/>
          <w:szCs w:val="24"/>
        </w:rPr>
        <w:t>.</w:t>
      </w:r>
      <w:r w:rsidRPr="005A305C">
        <w:rPr>
          <w:sz w:val="24"/>
          <w:szCs w:val="24"/>
        </w:rPr>
        <w:t xml:space="preserve"> </w:t>
      </w:r>
    </w:p>
    <w:p w14:paraId="3F7559A7" w14:textId="5DB3DA2F" w:rsidR="00726B66" w:rsidRPr="005A305C" w:rsidRDefault="00726B66" w:rsidP="003E6975">
      <w:pPr>
        <w:pStyle w:val="p1"/>
        <w:ind w:firstLine="397"/>
        <w:jc w:val="both"/>
        <w:rPr>
          <w:i/>
          <w:iCs/>
          <w:sz w:val="24"/>
          <w:szCs w:val="24"/>
        </w:rPr>
      </w:pPr>
      <w:r w:rsidRPr="005A305C">
        <w:rPr>
          <w:sz w:val="24"/>
          <w:szCs w:val="24"/>
        </w:rPr>
        <w:t xml:space="preserve">Особую значимость </w:t>
      </w:r>
      <w:r w:rsidR="009A76EB" w:rsidRPr="005A305C">
        <w:rPr>
          <w:sz w:val="24"/>
          <w:szCs w:val="24"/>
        </w:rPr>
        <w:t xml:space="preserve">для ранней диагностики и мониторинга нейроэндокринных опухолей (НЭО) </w:t>
      </w:r>
      <w:r w:rsidR="00166175" w:rsidRPr="005A305C">
        <w:rPr>
          <w:sz w:val="24"/>
          <w:szCs w:val="24"/>
        </w:rPr>
        <w:t xml:space="preserve">имеет </w:t>
      </w:r>
      <w:r w:rsidRPr="005A305C">
        <w:rPr>
          <w:sz w:val="24"/>
          <w:szCs w:val="24"/>
        </w:rPr>
        <w:t>определение метаболита катехоламина-</w:t>
      </w:r>
      <w:r w:rsidR="001302D5" w:rsidRPr="005A305C">
        <w:rPr>
          <w:i/>
          <w:iCs/>
          <w:sz w:val="24"/>
          <w:szCs w:val="24"/>
        </w:rPr>
        <w:t>в</w:t>
      </w:r>
      <w:r w:rsidRPr="005A305C">
        <w:rPr>
          <w:i/>
          <w:iCs/>
          <w:sz w:val="24"/>
          <w:szCs w:val="24"/>
        </w:rPr>
        <w:t>анилилминдальной кислоты (ВМК)</w:t>
      </w:r>
      <w:r w:rsidRPr="005A305C">
        <w:rPr>
          <w:sz w:val="24"/>
          <w:szCs w:val="24"/>
        </w:rPr>
        <w:t xml:space="preserve">. </w:t>
      </w:r>
      <w:r w:rsidR="00166175" w:rsidRPr="005A305C">
        <w:rPr>
          <w:sz w:val="24"/>
          <w:szCs w:val="24"/>
        </w:rPr>
        <w:t>Для этих целей пр</w:t>
      </w:r>
      <w:r w:rsidR="003E6975">
        <w:rPr>
          <w:sz w:val="24"/>
          <w:szCs w:val="24"/>
        </w:rPr>
        <w:t>е</w:t>
      </w:r>
      <w:r w:rsidR="0039158F">
        <w:rPr>
          <w:sz w:val="24"/>
          <w:szCs w:val="24"/>
        </w:rPr>
        <w:t>д</w:t>
      </w:r>
      <w:r w:rsidR="00166175" w:rsidRPr="005A305C">
        <w:rPr>
          <w:sz w:val="24"/>
          <w:szCs w:val="24"/>
        </w:rPr>
        <w:t xml:space="preserve">ложен амперометрический </w:t>
      </w:r>
      <w:proofErr w:type="spellStart"/>
      <w:r w:rsidR="00166175" w:rsidRPr="005A305C">
        <w:rPr>
          <w:sz w:val="24"/>
          <w:szCs w:val="24"/>
        </w:rPr>
        <w:t>тирозиназный</w:t>
      </w:r>
      <w:proofErr w:type="spellEnd"/>
      <w:r w:rsidR="00166175" w:rsidRPr="005A305C">
        <w:rPr>
          <w:sz w:val="24"/>
          <w:szCs w:val="24"/>
        </w:rPr>
        <w:t xml:space="preserve"> биосенсор. </w:t>
      </w:r>
    </w:p>
    <w:p w14:paraId="13FD3E80" w14:textId="1C83C4CF" w:rsidR="00726B66" w:rsidRPr="005A305C" w:rsidRDefault="00166175" w:rsidP="003E6975">
      <w:pPr>
        <w:pStyle w:val="p1"/>
        <w:ind w:firstLine="397"/>
        <w:jc w:val="both"/>
        <w:rPr>
          <w:i/>
          <w:iCs/>
          <w:sz w:val="24"/>
          <w:szCs w:val="24"/>
        </w:rPr>
      </w:pPr>
      <w:r w:rsidRPr="005A305C">
        <w:rPr>
          <w:sz w:val="24"/>
          <w:szCs w:val="24"/>
        </w:rPr>
        <w:t>О</w:t>
      </w:r>
      <w:r w:rsidR="00726B66" w:rsidRPr="005A305C">
        <w:rPr>
          <w:sz w:val="24"/>
          <w:szCs w:val="24"/>
        </w:rPr>
        <w:t>снов</w:t>
      </w:r>
      <w:r w:rsidRPr="005A305C">
        <w:rPr>
          <w:sz w:val="24"/>
          <w:szCs w:val="24"/>
        </w:rPr>
        <w:t>ой</w:t>
      </w:r>
      <w:r w:rsidR="00726B66" w:rsidRPr="005A305C">
        <w:rPr>
          <w:sz w:val="24"/>
          <w:szCs w:val="24"/>
        </w:rPr>
        <w:t xml:space="preserve"> </w:t>
      </w:r>
      <w:r w:rsidR="00485DA4" w:rsidRPr="005A305C">
        <w:rPr>
          <w:sz w:val="24"/>
          <w:szCs w:val="24"/>
        </w:rPr>
        <w:t xml:space="preserve">разработанного </w:t>
      </w:r>
      <w:r w:rsidR="00726B66" w:rsidRPr="005A305C">
        <w:rPr>
          <w:sz w:val="24"/>
          <w:szCs w:val="24"/>
        </w:rPr>
        <w:t xml:space="preserve">биосенсора </w:t>
      </w:r>
      <w:r w:rsidRPr="005A305C">
        <w:rPr>
          <w:sz w:val="24"/>
          <w:szCs w:val="24"/>
        </w:rPr>
        <w:t>является</w:t>
      </w:r>
      <w:r w:rsidR="00726B66" w:rsidRPr="005A305C">
        <w:rPr>
          <w:sz w:val="24"/>
          <w:szCs w:val="24"/>
        </w:rPr>
        <w:t xml:space="preserve"> печатный графитовый электрод с иммобилизованным </w:t>
      </w:r>
      <w:proofErr w:type="spellStart"/>
      <w:r w:rsidR="00783880" w:rsidRPr="005A305C">
        <w:rPr>
          <w:sz w:val="24"/>
          <w:szCs w:val="24"/>
        </w:rPr>
        <w:t>гомогенатом</w:t>
      </w:r>
      <w:proofErr w:type="spellEnd"/>
      <w:r w:rsidR="00783880" w:rsidRPr="005A305C">
        <w:rPr>
          <w:sz w:val="24"/>
          <w:szCs w:val="24"/>
        </w:rPr>
        <w:t xml:space="preserve"> фермента</w:t>
      </w:r>
      <w:r w:rsidR="00726B66" w:rsidRPr="005A305C">
        <w:rPr>
          <w:sz w:val="24"/>
          <w:szCs w:val="24"/>
        </w:rPr>
        <w:t xml:space="preserve"> </w:t>
      </w:r>
      <w:proofErr w:type="spellStart"/>
      <w:r w:rsidR="00726B66" w:rsidRPr="005A305C">
        <w:rPr>
          <w:sz w:val="24"/>
          <w:szCs w:val="24"/>
        </w:rPr>
        <w:t>тирозиназы</w:t>
      </w:r>
      <w:proofErr w:type="spellEnd"/>
      <w:r w:rsidR="00726B66" w:rsidRPr="005A305C">
        <w:rPr>
          <w:sz w:val="24"/>
          <w:szCs w:val="24"/>
        </w:rPr>
        <w:t>.</w:t>
      </w:r>
      <w:r w:rsidR="00783880" w:rsidRPr="005A305C">
        <w:rPr>
          <w:sz w:val="24"/>
          <w:szCs w:val="24"/>
        </w:rPr>
        <w:t xml:space="preserve"> </w:t>
      </w:r>
      <w:r w:rsidRPr="005A305C">
        <w:rPr>
          <w:sz w:val="24"/>
          <w:szCs w:val="24"/>
        </w:rPr>
        <w:t xml:space="preserve">В качестве субстрата использовали фенол. </w:t>
      </w:r>
      <w:r w:rsidR="00726B66" w:rsidRPr="005A305C">
        <w:rPr>
          <w:sz w:val="24"/>
          <w:szCs w:val="24"/>
        </w:rPr>
        <w:t xml:space="preserve">Установлено, что </w:t>
      </w:r>
      <w:r w:rsidR="00726B66" w:rsidRPr="0039158F">
        <w:rPr>
          <w:i/>
          <w:iCs/>
          <w:sz w:val="24"/>
          <w:szCs w:val="24"/>
        </w:rPr>
        <w:t>ВМК</w:t>
      </w:r>
      <w:r w:rsidR="00726B66" w:rsidRPr="005A305C">
        <w:rPr>
          <w:sz w:val="24"/>
          <w:szCs w:val="24"/>
        </w:rPr>
        <w:t xml:space="preserve"> </w:t>
      </w:r>
      <w:r w:rsidR="00BE4EF4" w:rsidRPr="005A305C">
        <w:rPr>
          <w:sz w:val="24"/>
          <w:szCs w:val="24"/>
        </w:rPr>
        <w:t xml:space="preserve">оказывает </w:t>
      </w:r>
      <w:r w:rsidR="00726B66" w:rsidRPr="005A305C">
        <w:rPr>
          <w:sz w:val="24"/>
          <w:szCs w:val="24"/>
        </w:rPr>
        <w:t>ингибиру</w:t>
      </w:r>
      <w:r w:rsidR="00BE4EF4" w:rsidRPr="005A305C">
        <w:rPr>
          <w:sz w:val="24"/>
          <w:szCs w:val="24"/>
        </w:rPr>
        <w:t>ющее действие на</w:t>
      </w:r>
      <w:r w:rsidR="00726B66" w:rsidRPr="005A305C">
        <w:rPr>
          <w:sz w:val="24"/>
          <w:szCs w:val="24"/>
        </w:rPr>
        <w:t xml:space="preserve"> фермент </w:t>
      </w:r>
      <w:r w:rsidRPr="005A305C">
        <w:rPr>
          <w:sz w:val="24"/>
          <w:szCs w:val="24"/>
        </w:rPr>
        <w:t xml:space="preserve">субстратную систему </w:t>
      </w:r>
      <w:proofErr w:type="spellStart"/>
      <w:r w:rsidR="009A76EB" w:rsidRPr="005A305C">
        <w:rPr>
          <w:sz w:val="24"/>
          <w:szCs w:val="24"/>
        </w:rPr>
        <w:t>тирозиназ</w:t>
      </w:r>
      <w:r w:rsidRPr="005A305C">
        <w:rPr>
          <w:sz w:val="24"/>
          <w:szCs w:val="24"/>
        </w:rPr>
        <w:t>а</w:t>
      </w:r>
      <w:proofErr w:type="spellEnd"/>
      <w:r w:rsidRPr="005A305C">
        <w:rPr>
          <w:sz w:val="24"/>
          <w:szCs w:val="24"/>
        </w:rPr>
        <w:t>-фенол</w:t>
      </w:r>
      <w:r w:rsidR="009A76EB" w:rsidRPr="005A305C">
        <w:rPr>
          <w:sz w:val="24"/>
          <w:szCs w:val="24"/>
        </w:rPr>
        <w:t xml:space="preserve"> </w:t>
      </w:r>
      <w:r w:rsidR="00726B66" w:rsidRPr="005A305C">
        <w:rPr>
          <w:sz w:val="24"/>
          <w:szCs w:val="24"/>
        </w:rPr>
        <w:t>в диапазоне концентраций 1×10⁻</w:t>
      </w:r>
      <w:r w:rsidR="00726B66" w:rsidRPr="005A305C">
        <w:rPr>
          <w:sz w:val="24"/>
          <w:szCs w:val="24"/>
          <w:vertAlign w:val="superscript"/>
        </w:rPr>
        <w:t>11</w:t>
      </w:r>
      <w:r w:rsidR="00726B66" w:rsidRPr="005A305C">
        <w:rPr>
          <w:sz w:val="24"/>
          <w:szCs w:val="24"/>
        </w:rPr>
        <w:t>×</w:t>
      </w:r>
      <w:r w:rsidR="009A76EB" w:rsidRPr="005A305C">
        <w:rPr>
          <w:sz w:val="24"/>
          <w:szCs w:val="24"/>
        </w:rPr>
        <w:t>1×</w:t>
      </w:r>
      <w:r w:rsidR="00726B66" w:rsidRPr="005A305C">
        <w:rPr>
          <w:sz w:val="24"/>
          <w:szCs w:val="24"/>
        </w:rPr>
        <w:t>10</w:t>
      </w:r>
      <w:r w:rsidR="005471BF" w:rsidRPr="005A305C">
        <w:rPr>
          <w:sz w:val="24"/>
          <w:szCs w:val="24"/>
          <w:vertAlign w:val="superscript"/>
        </w:rPr>
        <w:t>-5</w:t>
      </w:r>
      <w:r w:rsidR="00726B66" w:rsidRPr="005A305C">
        <w:rPr>
          <w:sz w:val="24"/>
          <w:szCs w:val="24"/>
        </w:rPr>
        <w:t xml:space="preserve"> М. </w:t>
      </w:r>
      <w:r w:rsidR="00AE4715" w:rsidRPr="005A305C">
        <w:rPr>
          <w:sz w:val="24"/>
          <w:szCs w:val="24"/>
        </w:rPr>
        <w:t>Нижняя граница определяемых содержаний (</w:t>
      </w:r>
      <w:r w:rsidR="00AE4715" w:rsidRPr="005A305C">
        <w:rPr>
          <w:i/>
          <w:iCs/>
          <w:sz w:val="24"/>
          <w:szCs w:val="24"/>
          <w:lang w:val="en-US"/>
        </w:rPr>
        <w:t>c</w:t>
      </w:r>
      <w:r w:rsidR="00AE4715" w:rsidRPr="005A305C">
        <w:rPr>
          <w:i/>
          <w:iCs/>
          <w:sz w:val="24"/>
          <w:szCs w:val="24"/>
          <w:vertAlign w:val="subscript"/>
        </w:rPr>
        <w:t>н</w:t>
      </w:r>
      <w:r w:rsidR="00AE4715" w:rsidRPr="005A305C">
        <w:rPr>
          <w:sz w:val="24"/>
          <w:szCs w:val="24"/>
        </w:rPr>
        <w:t>)</w:t>
      </w:r>
      <w:r w:rsidR="00726B66" w:rsidRPr="005A305C">
        <w:rPr>
          <w:sz w:val="24"/>
          <w:szCs w:val="24"/>
        </w:rPr>
        <w:t>— 5×10</w:t>
      </w:r>
      <w:r w:rsidR="00BE4EF4" w:rsidRPr="005A305C">
        <w:rPr>
          <w:sz w:val="24"/>
          <w:szCs w:val="24"/>
          <w:vertAlign w:val="superscript"/>
        </w:rPr>
        <w:t>-12</w:t>
      </w:r>
      <w:r w:rsidR="00726B66" w:rsidRPr="005A305C">
        <w:rPr>
          <w:sz w:val="24"/>
          <w:szCs w:val="24"/>
        </w:rPr>
        <w:t xml:space="preserve"> М, максимальный процент ингибирование — 83±2%. </w:t>
      </w:r>
    </w:p>
    <w:p w14:paraId="75537E60" w14:textId="0EA47571" w:rsidR="00726B66" w:rsidRPr="005A305C" w:rsidRDefault="00726B66" w:rsidP="003E6975">
      <w:pPr>
        <w:pStyle w:val="p1"/>
        <w:ind w:firstLine="397"/>
        <w:jc w:val="both"/>
        <w:rPr>
          <w:sz w:val="24"/>
          <w:szCs w:val="24"/>
        </w:rPr>
      </w:pPr>
      <w:r w:rsidRPr="005A305C">
        <w:rPr>
          <w:sz w:val="24"/>
          <w:szCs w:val="24"/>
        </w:rPr>
        <w:t xml:space="preserve">Для </w:t>
      </w:r>
      <w:r w:rsidR="009A76EB" w:rsidRPr="005A305C">
        <w:rPr>
          <w:sz w:val="24"/>
          <w:szCs w:val="24"/>
        </w:rPr>
        <w:t>получения лучших</w:t>
      </w:r>
      <w:r w:rsidRPr="005A305C">
        <w:rPr>
          <w:sz w:val="24"/>
          <w:szCs w:val="24"/>
        </w:rPr>
        <w:t xml:space="preserve"> аналитических характеристик </w:t>
      </w:r>
      <w:r w:rsidR="00166175" w:rsidRPr="005A305C">
        <w:rPr>
          <w:sz w:val="24"/>
          <w:szCs w:val="24"/>
        </w:rPr>
        <w:t xml:space="preserve">проводили </w:t>
      </w:r>
      <w:r w:rsidR="005A305C" w:rsidRPr="005A305C">
        <w:rPr>
          <w:sz w:val="24"/>
          <w:szCs w:val="24"/>
        </w:rPr>
        <w:t>модификацию поверхности</w:t>
      </w:r>
      <w:r w:rsidR="00166175" w:rsidRPr="005A305C">
        <w:rPr>
          <w:sz w:val="24"/>
          <w:szCs w:val="24"/>
        </w:rPr>
        <w:t xml:space="preserve"> </w:t>
      </w:r>
      <w:r w:rsidRPr="005A305C">
        <w:rPr>
          <w:sz w:val="24"/>
          <w:szCs w:val="24"/>
        </w:rPr>
        <w:t xml:space="preserve">электрода </w:t>
      </w:r>
      <w:proofErr w:type="spellStart"/>
      <w:r w:rsidR="009A76EB" w:rsidRPr="005A305C">
        <w:rPr>
          <w:sz w:val="24"/>
          <w:szCs w:val="24"/>
        </w:rPr>
        <w:t>многостенными</w:t>
      </w:r>
      <w:proofErr w:type="spellEnd"/>
      <w:r w:rsidR="009A76EB" w:rsidRPr="005A305C">
        <w:rPr>
          <w:sz w:val="24"/>
          <w:szCs w:val="24"/>
        </w:rPr>
        <w:t xml:space="preserve"> углеродными нанотрубками (МУНТ), </w:t>
      </w:r>
      <w:r w:rsidRPr="005A305C">
        <w:rPr>
          <w:sz w:val="24"/>
          <w:szCs w:val="24"/>
        </w:rPr>
        <w:t>наночастицами</w:t>
      </w:r>
      <w:r w:rsidR="00166175" w:rsidRPr="005A305C">
        <w:rPr>
          <w:sz w:val="24"/>
          <w:szCs w:val="24"/>
        </w:rPr>
        <w:t xml:space="preserve"> золота (НЧ</w:t>
      </w:r>
      <w:r w:rsidRPr="005A305C">
        <w:rPr>
          <w:sz w:val="24"/>
          <w:szCs w:val="24"/>
        </w:rPr>
        <w:t xml:space="preserve"> Au</w:t>
      </w:r>
      <w:r w:rsidR="00166175" w:rsidRPr="005A305C">
        <w:rPr>
          <w:sz w:val="24"/>
          <w:szCs w:val="24"/>
        </w:rPr>
        <w:t>)</w:t>
      </w:r>
      <w:r w:rsidR="009A76EB" w:rsidRPr="005A305C">
        <w:rPr>
          <w:sz w:val="24"/>
          <w:szCs w:val="24"/>
        </w:rPr>
        <w:t xml:space="preserve"> и </w:t>
      </w:r>
      <w:r w:rsidRPr="005A305C">
        <w:rPr>
          <w:sz w:val="24"/>
          <w:szCs w:val="24"/>
        </w:rPr>
        <w:t xml:space="preserve">нанокомпозитом на их основе (МУНТ и НЧ </w:t>
      </w:r>
      <w:r w:rsidRPr="005A305C">
        <w:rPr>
          <w:sz w:val="24"/>
          <w:szCs w:val="24"/>
          <w:lang w:val="en-US"/>
        </w:rPr>
        <w:t>Au</w:t>
      </w:r>
      <w:r w:rsidRPr="005A305C">
        <w:rPr>
          <w:sz w:val="24"/>
          <w:szCs w:val="24"/>
        </w:rPr>
        <w:t>).</w:t>
      </w:r>
    </w:p>
    <w:p w14:paraId="1F242CD3" w14:textId="0B765709" w:rsidR="00726B66" w:rsidRPr="005A305C" w:rsidRDefault="00726B66" w:rsidP="003E6975">
      <w:pPr>
        <w:pStyle w:val="p1"/>
        <w:ind w:firstLine="397"/>
        <w:jc w:val="both"/>
        <w:rPr>
          <w:sz w:val="24"/>
          <w:szCs w:val="24"/>
        </w:rPr>
      </w:pPr>
      <w:r w:rsidRPr="005A305C">
        <w:rPr>
          <w:sz w:val="24"/>
          <w:szCs w:val="24"/>
        </w:rPr>
        <w:t xml:space="preserve">Модификация поверхности электрода </w:t>
      </w:r>
      <w:r w:rsidR="009A76EB" w:rsidRPr="005A305C">
        <w:rPr>
          <w:sz w:val="24"/>
          <w:szCs w:val="24"/>
        </w:rPr>
        <w:t xml:space="preserve">наноматериалами позволила расширить </w:t>
      </w:r>
      <w:r w:rsidRPr="005A305C">
        <w:rPr>
          <w:sz w:val="24"/>
          <w:szCs w:val="24"/>
        </w:rPr>
        <w:t xml:space="preserve"> </w:t>
      </w:r>
      <w:r w:rsidR="009A76EB" w:rsidRPr="005A305C">
        <w:rPr>
          <w:sz w:val="24"/>
          <w:szCs w:val="24"/>
        </w:rPr>
        <w:t xml:space="preserve">диапазон </w:t>
      </w:r>
      <w:r w:rsidRPr="005A305C">
        <w:rPr>
          <w:sz w:val="24"/>
          <w:szCs w:val="24"/>
        </w:rPr>
        <w:t xml:space="preserve">рабочих концентраций определения </w:t>
      </w:r>
      <w:r w:rsidRPr="005A305C">
        <w:rPr>
          <w:i/>
          <w:iCs/>
          <w:sz w:val="24"/>
          <w:szCs w:val="24"/>
        </w:rPr>
        <w:t>ВМК</w:t>
      </w:r>
      <w:r w:rsidRPr="005A305C">
        <w:rPr>
          <w:sz w:val="24"/>
          <w:szCs w:val="24"/>
        </w:rPr>
        <w:t xml:space="preserve">: </w:t>
      </w:r>
      <w:r w:rsidRPr="005A305C">
        <w:rPr>
          <w:bCs/>
          <w:sz w:val="24"/>
          <w:szCs w:val="24"/>
        </w:rPr>
        <w:t>от 1×10</w:t>
      </w:r>
      <w:r w:rsidRPr="005A305C">
        <w:rPr>
          <w:bCs/>
          <w:sz w:val="24"/>
          <w:szCs w:val="24"/>
          <w:vertAlign w:val="superscript"/>
        </w:rPr>
        <w:t>-9</w:t>
      </w:r>
      <w:r w:rsidRPr="005A305C">
        <w:rPr>
          <w:bCs/>
          <w:sz w:val="24"/>
          <w:szCs w:val="24"/>
        </w:rPr>
        <w:t xml:space="preserve"> до 1×10</w:t>
      </w:r>
      <w:r w:rsidRPr="005A305C">
        <w:rPr>
          <w:bCs/>
          <w:sz w:val="24"/>
          <w:szCs w:val="24"/>
          <w:vertAlign w:val="superscript"/>
        </w:rPr>
        <w:t>-5</w:t>
      </w:r>
      <w:r w:rsidRPr="005A305C">
        <w:rPr>
          <w:bCs/>
          <w:sz w:val="24"/>
          <w:szCs w:val="24"/>
        </w:rPr>
        <w:t xml:space="preserve"> М, </w:t>
      </w:r>
      <w:proofErr w:type="spellStart"/>
      <w:r w:rsidRPr="005A305C">
        <w:rPr>
          <w:i/>
          <w:iCs/>
          <w:sz w:val="24"/>
          <w:szCs w:val="24"/>
        </w:rPr>
        <w:t>с</w:t>
      </w:r>
      <w:r w:rsidRPr="005A305C">
        <w:rPr>
          <w:sz w:val="24"/>
          <w:szCs w:val="24"/>
          <w:vertAlign w:val="subscript"/>
        </w:rPr>
        <w:t>н</w:t>
      </w:r>
      <w:proofErr w:type="spellEnd"/>
      <w:r w:rsidRPr="005A305C">
        <w:rPr>
          <w:bCs/>
          <w:sz w:val="24"/>
          <w:szCs w:val="24"/>
        </w:rPr>
        <w:t xml:space="preserve"> -5×10</w:t>
      </w:r>
      <w:r w:rsidRPr="005A305C">
        <w:rPr>
          <w:bCs/>
          <w:sz w:val="24"/>
          <w:szCs w:val="24"/>
          <w:vertAlign w:val="superscript"/>
        </w:rPr>
        <w:t xml:space="preserve">-10 </w:t>
      </w:r>
      <w:r w:rsidRPr="005A305C">
        <w:rPr>
          <w:bCs/>
          <w:sz w:val="24"/>
          <w:szCs w:val="24"/>
        </w:rPr>
        <w:t>в случае модификации МУНТ, от 1×10</w:t>
      </w:r>
      <w:r w:rsidRPr="005A305C">
        <w:rPr>
          <w:bCs/>
          <w:sz w:val="24"/>
          <w:szCs w:val="24"/>
          <w:vertAlign w:val="superscript"/>
        </w:rPr>
        <w:t>-10</w:t>
      </w:r>
      <w:r w:rsidRPr="005A305C">
        <w:rPr>
          <w:bCs/>
          <w:sz w:val="24"/>
          <w:szCs w:val="24"/>
        </w:rPr>
        <w:t xml:space="preserve"> до 1×10</w:t>
      </w:r>
      <w:r w:rsidRPr="005A305C">
        <w:rPr>
          <w:bCs/>
          <w:sz w:val="24"/>
          <w:szCs w:val="24"/>
          <w:vertAlign w:val="superscript"/>
        </w:rPr>
        <w:t>-5</w:t>
      </w:r>
      <w:r w:rsidRPr="005A305C">
        <w:rPr>
          <w:bCs/>
          <w:sz w:val="24"/>
          <w:szCs w:val="24"/>
        </w:rPr>
        <w:t xml:space="preserve"> М, </w:t>
      </w:r>
      <w:proofErr w:type="spellStart"/>
      <w:r w:rsidRPr="005A305C">
        <w:rPr>
          <w:i/>
          <w:iCs/>
          <w:sz w:val="24"/>
          <w:szCs w:val="24"/>
        </w:rPr>
        <w:t>с</w:t>
      </w:r>
      <w:r w:rsidRPr="005A305C">
        <w:rPr>
          <w:sz w:val="24"/>
          <w:szCs w:val="24"/>
          <w:vertAlign w:val="subscript"/>
        </w:rPr>
        <w:t>н</w:t>
      </w:r>
      <w:proofErr w:type="spellEnd"/>
      <w:r w:rsidRPr="005A305C">
        <w:rPr>
          <w:bCs/>
          <w:sz w:val="24"/>
          <w:szCs w:val="24"/>
        </w:rPr>
        <w:t xml:space="preserve"> -5×10</w:t>
      </w:r>
      <w:r w:rsidRPr="005A305C">
        <w:rPr>
          <w:bCs/>
          <w:sz w:val="24"/>
          <w:szCs w:val="24"/>
          <w:vertAlign w:val="superscript"/>
        </w:rPr>
        <w:t xml:space="preserve">-11 </w:t>
      </w:r>
      <w:r w:rsidR="0024094E" w:rsidRPr="005A305C">
        <w:rPr>
          <w:bCs/>
          <w:sz w:val="24"/>
          <w:szCs w:val="24"/>
        </w:rPr>
        <w:t xml:space="preserve"> (</w:t>
      </w:r>
      <w:r w:rsidRPr="005A305C">
        <w:rPr>
          <w:bCs/>
          <w:sz w:val="24"/>
          <w:szCs w:val="24"/>
        </w:rPr>
        <w:t>НЧ/</w:t>
      </w:r>
      <w:r w:rsidRPr="005A305C">
        <w:rPr>
          <w:bCs/>
          <w:sz w:val="24"/>
          <w:szCs w:val="24"/>
          <w:lang w:val="en-US"/>
        </w:rPr>
        <w:t>Au</w:t>
      </w:r>
      <w:r w:rsidR="0024094E" w:rsidRPr="005A305C">
        <w:rPr>
          <w:bCs/>
          <w:sz w:val="24"/>
          <w:szCs w:val="24"/>
        </w:rPr>
        <w:t>)</w:t>
      </w:r>
      <w:r w:rsidRPr="005A305C">
        <w:rPr>
          <w:bCs/>
          <w:sz w:val="24"/>
          <w:szCs w:val="24"/>
        </w:rPr>
        <w:t xml:space="preserve"> </w:t>
      </w:r>
      <w:r w:rsidRPr="005A305C">
        <w:rPr>
          <w:sz w:val="24"/>
          <w:szCs w:val="24"/>
        </w:rPr>
        <w:t xml:space="preserve">и </w:t>
      </w:r>
      <w:r w:rsidRPr="005A305C">
        <w:rPr>
          <w:bCs/>
          <w:sz w:val="24"/>
          <w:szCs w:val="24"/>
        </w:rPr>
        <w:t>от 1×10</w:t>
      </w:r>
      <w:r w:rsidRPr="005A305C">
        <w:rPr>
          <w:bCs/>
          <w:sz w:val="24"/>
          <w:szCs w:val="24"/>
          <w:vertAlign w:val="superscript"/>
        </w:rPr>
        <w:t>-11</w:t>
      </w:r>
      <w:r w:rsidRPr="005A305C">
        <w:rPr>
          <w:bCs/>
          <w:sz w:val="24"/>
          <w:szCs w:val="24"/>
        </w:rPr>
        <w:t xml:space="preserve"> до 1×10</w:t>
      </w:r>
      <w:r w:rsidRPr="005A305C">
        <w:rPr>
          <w:bCs/>
          <w:sz w:val="24"/>
          <w:szCs w:val="24"/>
          <w:vertAlign w:val="superscript"/>
        </w:rPr>
        <w:t>-5</w:t>
      </w:r>
      <w:r w:rsidRPr="005A305C">
        <w:rPr>
          <w:bCs/>
          <w:sz w:val="24"/>
          <w:szCs w:val="24"/>
        </w:rPr>
        <w:t xml:space="preserve"> М, </w:t>
      </w:r>
      <w:proofErr w:type="spellStart"/>
      <w:r w:rsidRPr="005A305C">
        <w:rPr>
          <w:i/>
          <w:iCs/>
          <w:sz w:val="24"/>
          <w:szCs w:val="24"/>
        </w:rPr>
        <w:t>с</w:t>
      </w:r>
      <w:r w:rsidRPr="005A305C">
        <w:rPr>
          <w:sz w:val="24"/>
          <w:szCs w:val="24"/>
          <w:vertAlign w:val="subscript"/>
        </w:rPr>
        <w:t>н</w:t>
      </w:r>
      <w:proofErr w:type="spellEnd"/>
      <w:r w:rsidRPr="005A305C">
        <w:rPr>
          <w:sz w:val="24"/>
          <w:szCs w:val="24"/>
        </w:rPr>
        <w:t xml:space="preserve"> - </w:t>
      </w:r>
      <w:r w:rsidRPr="005A305C">
        <w:rPr>
          <w:bCs/>
          <w:sz w:val="24"/>
          <w:szCs w:val="24"/>
        </w:rPr>
        <w:t>5×10</w:t>
      </w:r>
      <w:r w:rsidRPr="005A305C">
        <w:rPr>
          <w:bCs/>
          <w:sz w:val="24"/>
          <w:szCs w:val="24"/>
          <w:vertAlign w:val="superscript"/>
        </w:rPr>
        <w:t>-12</w:t>
      </w:r>
      <w:r w:rsidRPr="005A305C">
        <w:rPr>
          <w:sz w:val="24"/>
          <w:szCs w:val="24"/>
        </w:rPr>
        <w:t xml:space="preserve"> М в случае модификации нанокомпозитом МУНТ/НЧ </w:t>
      </w:r>
      <w:r w:rsidRPr="005A305C">
        <w:rPr>
          <w:sz w:val="24"/>
          <w:szCs w:val="24"/>
          <w:lang w:val="en-US"/>
        </w:rPr>
        <w:t>Au</w:t>
      </w:r>
      <w:r w:rsidRPr="005A305C">
        <w:rPr>
          <w:sz w:val="24"/>
          <w:szCs w:val="24"/>
        </w:rPr>
        <w:t>.</w:t>
      </w:r>
    </w:p>
    <w:p w14:paraId="282A9A89" w14:textId="1B32F5FE" w:rsidR="00DE7A34" w:rsidRPr="005A305C" w:rsidRDefault="00DE7A34" w:rsidP="003E6975">
      <w:pPr>
        <w:pStyle w:val="Default"/>
        <w:ind w:firstLine="397"/>
        <w:jc w:val="both"/>
      </w:pPr>
      <w:r w:rsidRPr="005A305C">
        <w:t xml:space="preserve">При изучении кинетических параметров ферментативного превращения фенола в присутствии </w:t>
      </w:r>
      <w:r w:rsidRPr="0039158F">
        <w:rPr>
          <w:i/>
          <w:iCs/>
        </w:rPr>
        <w:t>ВМК</w:t>
      </w:r>
      <w:r w:rsidR="003F2B6A">
        <w:t xml:space="preserve"> </w:t>
      </w:r>
      <w:r w:rsidR="00E177D3" w:rsidRPr="005A305C">
        <w:t xml:space="preserve">при </w:t>
      </w:r>
      <w:r w:rsidRPr="005A305C">
        <w:t>модифика</w:t>
      </w:r>
      <w:r w:rsidR="00E177D3" w:rsidRPr="005A305C">
        <w:t>ции рабочей поверхности</w:t>
      </w:r>
      <w:r w:rsidRPr="005A305C">
        <w:t xml:space="preserve"> МУНТ наблюдалось двухпараметрически согласованное ингибирование, которое характеризуется увеличением константы </w:t>
      </w:r>
      <w:proofErr w:type="spellStart"/>
      <w:r w:rsidRPr="005A305C">
        <w:t>Михаэлиса</w:t>
      </w:r>
      <w:proofErr w:type="spellEnd"/>
      <w:r w:rsidRPr="005A305C">
        <w:t xml:space="preserve"> и снижением максимальной скорости ферментативной реакции. </w:t>
      </w:r>
      <w:r w:rsidR="00E177D3" w:rsidRPr="005A305C">
        <w:t>При модификации</w:t>
      </w:r>
      <w:r w:rsidRPr="005A305C">
        <w:t xml:space="preserve"> нанокомпозит</w:t>
      </w:r>
      <w:r w:rsidR="00E177D3" w:rsidRPr="005A305C">
        <w:t>ом</w:t>
      </w:r>
      <w:r w:rsidRPr="005A305C">
        <w:t xml:space="preserve"> МУНТ/ НЧ </w:t>
      </w:r>
      <w:r w:rsidRPr="005A305C">
        <w:rPr>
          <w:lang w:val="en-US"/>
        </w:rPr>
        <w:t>Au</w:t>
      </w:r>
      <w:r w:rsidRPr="005A305C">
        <w:t xml:space="preserve">. наблюдалось </w:t>
      </w:r>
      <w:proofErr w:type="spellStart"/>
      <w:r w:rsidRPr="005A305C">
        <w:t>псевдоингибировние</w:t>
      </w:r>
      <w:proofErr w:type="spellEnd"/>
      <w:r w:rsidRPr="005A305C">
        <w:t xml:space="preserve">, которое характеризуется увеличением константы </w:t>
      </w:r>
      <w:proofErr w:type="spellStart"/>
      <w:r w:rsidRPr="005A305C">
        <w:t>Михаэлиса</w:t>
      </w:r>
      <w:proofErr w:type="spellEnd"/>
      <w:r w:rsidRPr="005A305C">
        <w:t xml:space="preserve"> и максимальной скорости ферментативной реакции.</w:t>
      </w:r>
    </w:p>
    <w:p w14:paraId="49D86F8C" w14:textId="234B22FC" w:rsidR="00726B66" w:rsidRPr="005A305C" w:rsidRDefault="00726B66" w:rsidP="003E6975">
      <w:pPr>
        <w:pStyle w:val="p1"/>
        <w:ind w:firstLine="397"/>
        <w:jc w:val="both"/>
        <w:rPr>
          <w:color w:val="0F1115"/>
          <w:sz w:val="24"/>
          <w:szCs w:val="24"/>
          <w:shd w:val="clear" w:color="auto" w:fill="FFFFFF"/>
        </w:rPr>
      </w:pPr>
      <w:r w:rsidRPr="005A305C">
        <w:rPr>
          <w:color w:val="0F1115"/>
          <w:sz w:val="24"/>
          <w:szCs w:val="24"/>
          <w:shd w:val="clear" w:color="auto" w:fill="FFFFFF"/>
        </w:rPr>
        <w:t xml:space="preserve">Поскольку исследуемый онкомаркер преимущественно детектируется в урине в ходе мониторинга состояния здоровья, представляется целесообразным определение </w:t>
      </w:r>
      <w:r w:rsidRPr="0039158F">
        <w:rPr>
          <w:i/>
          <w:iCs/>
          <w:color w:val="0F1115"/>
          <w:sz w:val="24"/>
          <w:szCs w:val="24"/>
          <w:shd w:val="clear" w:color="auto" w:fill="FFFFFF"/>
        </w:rPr>
        <w:t>ВМК</w:t>
      </w:r>
      <w:r w:rsidRPr="005A305C">
        <w:rPr>
          <w:color w:val="0F1115"/>
          <w:sz w:val="24"/>
          <w:szCs w:val="24"/>
          <w:shd w:val="clear" w:color="auto" w:fill="FFFFFF"/>
        </w:rPr>
        <w:t xml:space="preserve"> в данной биологической жидкости с использованием разработанных амперометрических биосенсоров. </w:t>
      </w:r>
    </w:p>
    <w:p w14:paraId="5CE4F951" w14:textId="617407C0" w:rsidR="005A305C" w:rsidRPr="005A305C" w:rsidRDefault="00C92596" w:rsidP="003E6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5A305C">
        <w:rPr>
          <w:rFonts w:ascii="Times New Roman" w:hAnsi="Times New Roman" w:cs="Times New Roman"/>
        </w:rPr>
        <w:t xml:space="preserve">Известно, что в урине здорового человека в норме присутствует </w:t>
      </w:r>
      <w:r w:rsidR="005A305C" w:rsidRPr="005A305C">
        <w:rPr>
          <w:rFonts w:ascii="Times New Roman" w:hAnsi="Times New Roman" w:cs="Times New Roman"/>
        </w:rPr>
        <w:t>(2,35-10,</w:t>
      </w:r>
      <w:proofErr w:type="gramStart"/>
      <w:r w:rsidR="005A305C" w:rsidRPr="005A305C">
        <w:rPr>
          <w:rFonts w:ascii="Times New Roman" w:hAnsi="Times New Roman" w:cs="Times New Roman"/>
        </w:rPr>
        <w:t>9)×</w:t>
      </w:r>
      <w:proofErr w:type="gramEnd"/>
      <w:r w:rsidR="005A305C" w:rsidRPr="005A305C">
        <w:rPr>
          <w:rFonts w:ascii="Times New Roman" w:hAnsi="Times New Roman" w:cs="Times New Roman"/>
        </w:rPr>
        <w:t>10</w:t>
      </w:r>
      <w:r w:rsidR="005A305C" w:rsidRPr="005A305C">
        <w:rPr>
          <w:rFonts w:ascii="Times New Roman" w:hAnsi="Times New Roman" w:cs="Times New Roman"/>
          <w:vertAlign w:val="superscript"/>
        </w:rPr>
        <w:t>-11</w:t>
      </w:r>
      <w:r w:rsidR="005A305C">
        <w:rPr>
          <w:rFonts w:ascii="Times New Roman" w:hAnsi="Times New Roman" w:cs="Times New Roman"/>
          <w:vertAlign w:val="superscript"/>
        </w:rPr>
        <w:t xml:space="preserve"> </w:t>
      </w:r>
      <w:r w:rsidR="005A305C">
        <w:rPr>
          <w:rFonts w:ascii="Times New Roman" w:hAnsi="Times New Roman" w:cs="Times New Roman"/>
        </w:rPr>
        <w:t>М</w:t>
      </w:r>
      <w:r w:rsidR="005A305C" w:rsidRPr="005A305C">
        <w:rPr>
          <w:rFonts w:ascii="Times New Roman" w:hAnsi="Times New Roman" w:cs="Times New Roman"/>
          <w:vertAlign w:val="superscript"/>
        </w:rPr>
        <w:t xml:space="preserve"> </w:t>
      </w:r>
      <w:r w:rsidRPr="005A305C">
        <w:rPr>
          <w:rFonts w:ascii="Times New Roman" w:hAnsi="Times New Roman" w:cs="Times New Roman"/>
        </w:rPr>
        <w:t xml:space="preserve">ВМК. </w:t>
      </w:r>
      <w:r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В образце урины условно-здорового человека ВМК обнаружена не была: в отсутствии и присутствии образца урины аналитический сигнал фермент – субстратной системы оставался неизменным. </w:t>
      </w:r>
    </w:p>
    <w:p w14:paraId="0F3C1FFC" w14:textId="05274E42" w:rsidR="00726B66" w:rsidRPr="005A305C" w:rsidRDefault="00726B66" w:rsidP="003E6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С учетом </w:t>
      </w:r>
      <w:r w:rsidR="00C92596"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низких </w:t>
      </w:r>
      <w:r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детектируемых концентраций </w:t>
      </w:r>
      <w:r w:rsidR="00C92596"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ВМК разработанным биосенсором </w:t>
      </w:r>
      <w:r w:rsidRPr="005A305C">
        <w:rPr>
          <w:rFonts w:ascii="Times New Roman" w:hAnsi="Times New Roman" w:cs="Times New Roman"/>
          <w:color w:val="0F1115"/>
          <w:shd w:val="clear" w:color="auto" w:fill="FFFFFF"/>
        </w:rPr>
        <w:t>проб</w:t>
      </w:r>
      <w:r w:rsidR="00C92596"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у </w:t>
      </w:r>
      <w:r w:rsidR="0039158F">
        <w:rPr>
          <w:rFonts w:ascii="Times New Roman" w:hAnsi="Times New Roman" w:cs="Times New Roman"/>
          <w:color w:val="0F1115"/>
          <w:shd w:val="clear" w:color="auto" w:fill="FFFFFF"/>
        </w:rPr>
        <w:t>у</w:t>
      </w:r>
      <w:r w:rsidR="00C92596" w:rsidRPr="005A305C">
        <w:rPr>
          <w:rFonts w:ascii="Times New Roman" w:hAnsi="Times New Roman" w:cs="Times New Roman"/>
          <w:color w:val="0F1115"/>
          <w:shd w:val="clear" w:color="auto" w:fill="FFFFFF"/>
        </w:rPr>
        <w:t>рины</w:t>
      </w:r>
      <w:r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 с </w:t>
      </w:r>
      <w:r w:rsidR="00B16D15"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предполагаемым </w:t>
      </w:r>
      <w:r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повышенным содержанием ВМК подвергали </w:t>
      </w:r>
      <w:r w:rsidR="00C92596"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разбавлению. Оптимальным оказалось </w:t>
      </w:r>
      <w:r w:rsidRPr="005A305C">
        <w:rPr>
          <w:rFonts w:ascii="Times New Roman" w:hAnsi="Times New Roman" w:cs="Times New Roman"/>
          <w:color w:val="0F1115"/>
          <w:shd w:val="clear" w:color="auto" w:fill="FFFFFF"/>
        </w:rPr>
        <w:t>1000-кратному разбавлени</w:t>
      </w:r>
      <w:r w:rsidR="00C92596" w:rsidRPr="005A305C">
        <w:rPr>
          <w:rFonts w:ascii="Times New Roman" w:hAnsi="Times New Roman" w:cs="Times New Roman"/>
          <w:color w:val="0F1115"/>
          <w:shd w:val="clear" w:color="auto" w:fill="FFFFFF"/>
        </w:rPr>
        <w:t>е</w:t>
      </w:r>
      <w:r w:rsidRPr="005A305C">
        <w:rPr>
          <w:rFonts w:ascii="Times New Roman" w:hAnsi="Times New Roman" w:cs="Times New Roman"/>
          <w:color w:val="0F1115"/>
          <w:shd w:val="clear" w:color="auto" w:fill="FFFFFF"/>
        </w:rPr>
        <w:t xml:space="preserve">. </w:t>
      </w:r>
    </w:p>
    <w:p w14:paraId="10A3BD06" w14:textId="5975295F" w:rsidR="00726B66" w:rsidRPr="005A305C" w:rsidRDefault="00726B66" w:rsidP="003E6975">
      <w:pPr>
        <w:pStyle w:val="p1"/>
        <w:ind w:firstLine="397"/>
        <w:jc w:val="both"/>
        <w:rPr>
          <w:color w:val="0F1115"/>
          <w:sz w:val="24"/>
          <w:szCs w:val="24"/>
          <w:shd w:val="clear" w:color="auto" w:fill="FFFFFF"/>
        </w:rPr>
      </w:pPr>
      <w:r w:rsidRPr="005A305C">
        <w:rPr>
          <w:color w:val="0F1115"/>
          <w:sz w:val="24"/>
          <w:szCs w:val="24"/>
          <w:shd w:val="clear" w:color="auto" w:fill="FFFFFF"/>
        </w:rPr>
        <w:t>В пробе</w:t>
      </w:r>
      <w:r w:rsidR="00C92596" w:rsidRPr="005A305C">
        <w:rPr>
          <w:color w:val="0F1115"/>
          <w:sz w:val="24"/>
          <w:szCs w:val="24"/>
          <w:shd w:val="clear" w:color="auto" w:fill="FFFFFF"/>
        </w:rPr>
        <w:t xml:space="preserve"> </w:t>
      </w:r>
      <w:r w:rsidR="003F2B6A" w:rsidRPr="005A305C">
        <w:rPr>
          <w:color w:val="0F1115"/>
          <w:sz w:val="24"/>
          <w:szCs w:val="24"/>
          <w:shd w:val="clear" w:color="auto" w:fill="FFFFFF"/>
        </w:rPr>
        <w:t>урины пациента</w:t>
      </w:r>
      <w:r w:rsidRPr="005A305C">
        <w:rPr>
          <w:color w:val="0F1115"/>
          <w:sz w:val="24"/>
          <w:szCs w:val="24"/>
          <w:shd w:val="clear" w:color="auto" w:fill="FFFFFF"/>
        </w:rPr>
        <w:t xml:space="preserve"> с верифицированной нейроэндокринной опухолью желудка содержание ВМК, определенное </w:t>
      </w:r>
      <w:proofErr w:type="spellStart"/>
      <w:r w:rsidRPr="005A305C">
        <w:rPr>
          <w:color w:val="0F1115"/>
          <w:sz w:val="24"/>
          <w:szCs w:val="24"/>
          <w:shd w:val="clear" w:color="auto" w:fill="FFFFFF"/>
        </w:rPr>
        <w:t>тирозиназн</w:t>
      </w:r>
      <w:r w:rsidR="00C92596" w:rsidRPr="005A305C">
        <w:rPr>
          <w:color w:val="0F1115"/>
          <w:sz w:val="24"/>
          <w:szCs w:val="24"/>
          <w:shd w:val="clear" w:color="auto" w:fill="FFFFFF"/>
        </w:rPr>
        <w:t>ым</w:t>
      </w:r>
      <w:proofErr w:type="spellEnd"/>
      <w:r w:rsidRPr="005A305C">
        <w:rPr>
          <w:color w:val="0F1115"/>
          <w:sz w:val="24"/>
          <w:szCs w:val="24"/>
          <w:shd w:val="clear" w:color="auto" w:fill="FFFFFF"/>
        </w:rPr>
        <w:t xml:space="preserve"> биосенсор</w:t>
      </w:r>
      <w:r w:rsidR="00C92596" w:rsidRPr="005A305C">
        <w:rPr>
          <w:color w:val="0F1115"/>
          <w:sz w:val="24"/>
          <w:szCs w:val="24"/>
          <w:shd w:val="clear" w:color="auto" w:fill="FFFFFF"/>
        </w:rPr>
        <w:t>ом</w:t>
      </w:r>
      <w:r w:rsidRPr="005A305C">
        <w:rPr>
          <w:color w:val="0F1115"/>
          <w:sz w:val="24"/>
          <w:szCs w:val="24"/>
          <w:shd w:val="clear" w:color="auto" w:fill="FFFFFF"/>
        </w:rPr>
        <w:t>, модифицированн</w:t>
      </w:r>
      <w:r w:rsidR="00C92596" w:rsidRPr="005A305C">
        <w:rPr>
          <w:color w:val="0F1115"/>
          <w:sz w:val="24"/>
          <w:szCs w:val="24"/>
          <w:shd w:val="clear" w:color="auto" w:fill="FFFFFF"/>
        </w:rPr>
        <w:t>ым</w:t>
      </w:r>
      <w:r w:rsidRPr="005A305C">
        <w:rPr>
          <w:color w:val="0F1115"/>
          <w:sz w:val="24"/>
          <w:szCs w:val="24"/>
          <w:shd w:val="clear" w:color="auto" w:fill="FFFFFF"/>
        </w:rPr>
        <w:t xml:space="preserve"> МУНТ/НЧ Au, составило 1,38×10</w:t>
      </w:r>
      <w:r w:rsidR="00C92596" w:rsidRPr="005A305C">
        <w:rPr>
          <w:color w:val="0F1115"/>
          <w:sz w:val="24"/>
          <w:szCs w:val="24"/>
          <w:shd w:val="clear" w:color="auto" w:fill="FFFFFF"/>
          <w:vertAlign w:val="superscript"/>
        </w:rPr>
        <w:t>-2</w:t>
      </w:r>
      <w:r w:rsidRPr="005A305C">
        <w:rPr>
          <w:color w:val="0F1115"/>
          <w:sz w:val="24"/>
          <w:szCs w:val="24"/>
          <w:shd w:val="clear" w:color="auto" w:fill="FFFFFF"/>
        </w:rPr>
        <w:t xml:space="preserve"> М, что существенно превышает референтные значения. </w:t>
      </w:r>
    </w:p>
    <w:p w14:paraId="1489E45B" w14:textId="3EBE7B23" w:rsidR="00DE7A34" w:rsidRPr="005A305C" w:rsidRDefault="00726B66" w:rsidP="003E6975">
      <w:pPr>
        <w:pStyle w:val="p1"/>
        <w:ind w:firstLine="397"/>
        <w:jc w:val="both"/>
        <w:rPr>
          <w:sz w:val="24"/>
          <w:szCs w:val="24"/>
        </w:rPr>
      </w:pPr>
      <w:r w:rsidRPr="005A305C">
        <w:rPr>
          <w:color w:val="0F1115"/>
          <w:sz w:val="24"/>
          <w:szCs w:val="24"/>
          <w:shd w:val="clear" w:color="auto" w:fill="FFFFFF"/>
        </w:rPr>
        <w:t>Полученные данные свидетельствуют о перспективности применения разработанных сенсоров для анализа ВМК в моче в целях диагностики и мониторинга онкопатологий.</w:t>
      </w:r>
    </w:p>
    <w:sectPr w:rsidR="00DE7A34" w:rsidRPr="005A305C" w:rsidSect="00726B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66"/>
    <w:rsid w:val="00024DE6"/>
    <w:rsid w:val="000C546E"/>
    <w:rsid w:val="00103153"/>
    <w:rsid w:val="001302D5"/>
    <w:rsid w:val="00166175"/>
    <w:rsid w:val="0024094E"/>
    <w:rsid w:val="00353630"/>
    <w:rsid w:val="0039158F"/>
    <w:rsid w:val="003D76FE"/>
    <w:rsid w:val="003E6975"/>
    <w:rsid w:val="003F2B6A"/>
    <w:rsid w:val="00485DA4"/>
    <w:rsid w:val="005471BF"/>
    <w:rsid w:val="005A305C"/>
    <w:rsid w:val="005E0B39"/>
    <w:rsid w:val="00726B66"/>
    <w:rsid w:val="00783880"/>
    <w:rsid w:val="007944B2"/>
    <w:rsid w:val="008C1AC7"/>
    <w:rsid w:val="009A76EB"/>
    <w:rsid w:val="00AE4715"/>
    <w:rsid w:val="00B16D15"/>
    <w:rsid w:val="00B33200"/>
    <w:rsid w:val="00BE4EF4"/>
    <w:rsid w:val="00C92596"/>
    <w:rsid w:val="00D63A93"/>
    <w:rsid w:val="00DE7A34"/>
    <w:rsid w:val="00DF009F"/>
    <w:rsid w:val="00E177D3"/>
    <w:rsid w:val="00E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136A"/>
  <w15:chartTrackingRefBased/>
  <w15:docId w15:val="{96694CFB-2E88-6B4D-8201-754B40B1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B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B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B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B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B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B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B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6B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B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B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6B6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726B6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26B66"/>
    <w:rPr>
      <w:color w:val="467886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26B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26B6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26B66"/>
    <w:rPr>
      <w:sz w:val="20"/>
      <w:szCs w:val="20"/>
    </w:rPr>
  </w:style>
  <w:style w:type="paragraph" w:styleId="af0">
    <w:name w:val="Revision"/>
    <w:hidden/>
    <w:uiPriority w:val="99"/>
    <w:semiHidden/>
    <w:rsid w:val="00783880"/>
    <w:pPr>
      <w:spacing w:after="0" w:line="240" w:lineRule="auto"/>
    </w:pPr>
  </w:style>
  <w:style w:type="paragraph" w:customStyle="1" w:styleId="Default">
    <w:name w:val="Default"/>
    <w:rsid w:val="00DE7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f1">
    <w:name w:val="Normal (Web)"/>
    <w:basedOn w:val="a"/>
    <w:uiPriority w:val="99"/>
    <w:semiHidden/>
    <w:unhideWhenUsed/>
    <w:rsid w:val="005A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rlina9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2</cp:revision>
  <dcterms:created xsi:type="dcterms:W3CDTF">2026-03-02T08:13:00Z</dcterms:created>
  <dcterms:modified xsi:type="dcterms:W3CDTF">2026-03-02T08:13:00Z</dcterms:modified>
</cp:coreProperties>
</file>