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FB54D2" w14:textId="77777777" w:rsidR="001E7C2A" w:rsidRDefault="00000000" w:rsidP="007F42B2">
      <w:pPr>
        <w:spacing w:before="120"/>
        <w:jc w:val="center"/>
        <w:rPr>
          <w:b/>
          <w:i/>
          <w:iCs/>
          <w:color w:val="000000"/>
          <w:sz w:val="28"/>
          <w:szCs w:val="28"/>
        </w:rPr>
      </w:pPr>
      <w:r>
        <w:rPr>
          <w:b/>
          <w:color w:val="000000"/>
        </w:rPr>
        <w:t xml:space="preserve">Амперометрические </w:t>
      </w:r>
      <w:proofErr w:type="spellStart"/>
      <w:r>
        <w:rPr>
          <w:b/>
          <w:color w:val="000000"/>
        </w:rPr>
        <w:t>тирозиназные</w:t>
      </w:r>
      <w:proofErr w:type="spellEnd"/>
      <w:r>
        <w:rPr>
          <w:b/>
          <w:color w:val="000000"/>
        </w:rPr>
        <w:t xml:space="preserve"> биосенсоры модифицированные углеродными наноматериалами для определения </w:t>
      </w:r>
      <w:r>
        <w:rPr>
          <w:b/>
          <w:i/>
          <w:iCs/>
          <w:color w:val="000000"/>
          <w:lang w:val="en-US"/>
        </w:rPr>
        <w:t>Aspergillus</w:t>
      </w:r>
      <w:r>
        <w:rPr>
          <w:b/>
          <w:i/>
          <w:iCs/>
          <w:color w:val="000000"/>
        </w:rPr>
        <w:t xml:space="preserve"> </w:t>
      </w:r>
      <w:proofErr w:type="spellStart"/>
      <w:r>
        <w:rPr>
          <w:b/>
          <w:i/>
          <w:iCs/>
          <w:color w:val="000000"/>
          <w:lang w:val="en-US"/>
        </w:rPr>
        <w:t>niger</w:t>
      </w:r>
      <w:proofErr w:type="spellEnd"/>
      <w:r>
        <w:rPr>
          <w:b/>
          <w:i/>
          <w:iCs/>
          <w:color w:val="000000"/>
        </w:rPr>
        <w:t>.</w:t>
      </w:r>
    </w:p>
    <w:p w14:paraId="00000002" w14:textId="7D598476" w:rsidR="001E7C2A" w:rsidRPr="007F42B2" w:rsidRDefault="00000000" w:rsidP="007F42B2">
      <w:pP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Малоземова О.Е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>., Бейлинсон Р.М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Медянцева</w:t>
      </w:r>
      <w:proofErr w:type="spellEnd"/>
      <w:r>
        <w:rPr>
          <w:b/>
          <w:i/>
          <w:color w:val="000000"/>
        </w:rPr>
        <w:t xml:space="preserve"> Э.П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Лопатко</w:t>
      </w:r>
      <w:proofErr w:type="spellEnd"/>
      <w:r>
        <w:rPr>
          <w:b/>
          <w:i/>
          <w:color w:val="000000"/>
        </w:rPr>
        <w:t xml:space="preserve"> Н.Ю</w:t>
      </w:r>
      <w:r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</w:rPr>
        <w:t xml:space="preserve">., </w:t>
      </w:r>
      <w:proofErr w:type="spellStart"/>
      <w:r>
        <w:rPr>
          <w:b/>
          <w:i/>
          <w:color w:val="000000"/>
        </w:rPr>
        <w:t>Халдеева</w:t>
      </w:r>
      <w:proofErr w:type="spellEnd"/>
      <w:r>
        <w:rPr>
          <w:b/>
          <w:i/>
          <w:color w:val="000000"/>
        </w:rPr>
        <w:t xml:space="preserve"> Е.В</w:t>
      </w:r>
      <w:r>
        <w:rPr>
          <w:b/>
          <w:i/>
          <w:color w:val="000000"/>
          <w:vertAlign w:val="superscript"/>
        </w:rPr>
        <w:t>2</w:t>
      </w:r>
      <w:r w:rsidR="007F42B2">
        <w:rPr>
          <w:b/>
          <w:i/>
          <w:color w:val="000000"/>
        </w:rPr>
        <w:t>.</w:t>
      </w:r>
    </w:p>
    <w:p w14:paraId="00000003" w14:textId="77777777" w:rsidR="001E7C2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5 курс специалитета </w:t>
      </w:r>
    </w:p>
    <w:p w14:paraId="00000005" w14:textId="77777777" w:rsidR="001E7C2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 xml:space="preserve">Казанский (Приволжский)Федеральный Университет, Казань, Россия </w:t>
      </w:r>
    </w:p>
    <w:p w14:paraId="00000007" w14:textId="77777777" w:rsidR="001E7C2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>
        <w:rPr>
          <w:i/>
          <w:color w:val="000000"/>
        </w:rPr>
        <w:t xml:space="preserve">ИФБУН Казанский НИИ эпидемиологии и микробиологии Роспотребнадзора </w:t>
      </w:r>
    </w:p>
    <w:p w14:paraId="00000008" w14:textId="77777777" w:rsidR="001E7C2A" w:rsidRDefault="00000000">
      <w:pPr>
        <w:shd w:val="clear" w:color="auto" w:fill="FFFFFF"/>
        <w:jc w:val="center"/>
        <w:rPr>
          <w:color w:val="000000"/>
        </w:rPr>
      </w:pPr>
      <w:r>
        <w:rPr>
          <w:i/>
          <w:color w:val="000000"/>
          <w:lang w:val="en-US"/>
        </w:rPr>
        <w:t>E</w:t>
      </w:r>
      <w:r>
        <w:rPr>
          <w:i/>
          <w:color w:val="000000"/>
        </w:rPr>
        <w:t>-</w:t>
      </w:r>
      <w:r>
        <w:rPr>
          <w:i/>
          <w:color w:val="000000"/>
          <w:lang w:val="en-US"/>
        </w:rPr>
        <w:t>mail</w:t>
      </w:r>
      <w:r>
        <w:rPr>
          <w:i/>
          <w:color w:val="000000"/>
        </w:rPr>
        <w:t xml:space="preserve">: </w:t>
      </w:r>
      <w:hyperlink r:id="rId5" w:history="1">
        <w:r w:rsidR="001E7C2A">
          <w:rPr>
            <w:rStyle w:val="a3"/>
            <w:i/>
            <w:lang w:val="en-US"/>
          </w:rPr>
          <w:t>omalozemova</w:t>
        </w:r>
        <w:r w:rsidR="001E7C2A">
          <w:rPr>
            <w:rStyle w:val="a3"/>
            <w:i/>
          </w:rPr>
          <w:t>2017@</w:t>
        </w:r>
        <w:r w:rsidR="001E7C2A">
          <w:rPr>
            <w:rStyle w:val="a3"/>
            <w:i/>
            <w:lang w:val="en-US"/>
          </w:rPr>
          <w:t>yandex</w:t>
        </w:r>
        <w:r w:rsidR="001E7C2A">
          <w:rPr>
            <w:rStyle w:val="a3"/>
            <w:i/>
          </w:rPr>
          <w:t>.</w:t>
        </w:r>
        <w:r w:rsidR="001E7C2A">
          <w:rPr>
            <w:rStyle w:val="a3"/>
            <w:i/>
            <w:lang w:val="en-US"/>
          </w:rPr>
          <w:t>ru</w:t>
        </w:r>
      </w:hyperlink>
      <w:r>
        <w:rPr>
          <w:i/>
          <w:color w:val="000000"/>
        </w:rPr>
        <w:t xml:space="preserve"> </w:t>
      </w:r>
    </w:p>
    <w:p w14:paraId="6CE302AF" w14:textId="77777777" w:rsidR="001E7C2A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Одним из наиболее распространенных представителей патогенных грибов является </w:t>
      </w:r>
      <w:proofErr w:type="spellStart"/>
      <w:r>
        <w:rPr>
          <w:i/>
          <w:iCs/>
          <w:color w:val="000000"/>
        </w:rPr>
        <w:t>Aspergillus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niger</w:t>
      </w:r>
      <w:proofErr w:type="spellEnd"/>
      <w:r>
        <w:rPr>
          <w:color w:val="000000"/>
        </w:rPr>
        <w:t>. Данный микроорганизм выступает возбудителем аспергиллеза, что представляет серьезную опасность для здоровья человека, особенно для лиц с ослабленным иммунным статусом.</w:t>
      </w:r>
    </w:p>
    <w:p w14:paraId="1BFC9EF5" w14:textId="77777777" w:rsidR="001E7C2A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Перспективным направлением в области экологического мониторинга является использование </w:t>
      </w:r>
      <w:proofErr w:type="spellStart"/>
      <w:r>
        <w:rPr>
          <w:color w:val="000000"/>
        </w:rPr>
        <w:t>биосенсорных</w:t>
      </w:r>
      <w:proofErr w:type="spellEnd"/>
      <w:r>
        <w:rPr>
          <w:color w:val="000000"/>
        </w:rPr>
        <w:t xml:space="preserve"> технологий, которые обеспечивают </w:t>
      </w:r>
      <w:proofErr w:type="spellStart"/>
      <w:r>
        <w:rPr>
          <w:color w:val="000000"/>
        </w:rPr>
        <w:t>экспрессность</w:t>
      </w:r>
      <w:proofErr w:type="spellEnd"/>
      <w:r>
        <w:rPr>
          <w:color w:val="000000"/>
        </w:rPr>
        <w:t xml:space="preserve"> анализа, экономическую доступность и возможность автономного проведения анализа. </w:t>
      </w:r>
    </w:p>
    <w:p w14:paraId="3975EF0F" w14:textId="77777777" w:rsidR="001E7C2A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качестве основы для разрабатываемых нами сенсоров служили печатные графитовые электроды конструкции «3 в 1», полученные на полимерной подложке методом печатных технологий. В составе </w:t>
      </w:r>
      <w:proofErr w:type="spellStart"/>
      <w:r>
        <w:rPr>
          <w:color w:val="000000"/>
        </w:rPr>
        <w:t>биочувствительной</w:t>
      </w:r>
      <w:proofErr w:type="spellEnd"/>
      <w:r>
        <w:rPr>
          <w:color w:val="000000"/>
        </w:rPr>
        <w:t xml:space="preserve"> части разработанного сенсора использовали </w:t>
      </w:r>
      <w:proofErr w:type="spellStart"/>
      <w:r>
        <w:rPr>
          <w:color w:val="000000"/>
        </w:rPr>
        <w:t>гомогенат</w:t>
      </w:r>
      <w:proofErr w:type="spellEnd"/>
      <w:r>
        <w:rPr>
          <w:color w:val="000000"/>
        </w:rPr>
        <w:t xml:space="preserve"> фермента </w:t>
      </w:r>
      <w:proofErr w:type="spellStart"/>
      <w:r>
        <w:rPr>
          <w:color w:val="000000"/>
        </w:rPr>
        <w:t>тирозиназы</w:t>
      </w:r>
      <w:proofErr w:type="spellEnd"/>
      <w:r>
        <w:rPr>
          <w:color w:val="000000"/>
        </w:rPr>
        <w:t xml:space="preserve"> из грибов шампиньонов. В ходе анализа было установлено, что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Aspergillus</w:t>
      </w:r>
      <w:proofErr w:type="spellEnd"/>
      <w:r>
        <w:rPr>
          <w:i/>
          <w:iCs/>
          <w:color w:val="000000"/>
        </w:rPr>
        <w:t xml:space="preserve"> </w:t>
      </w:r>
      <w:proofErr w:type="spellStart"/>
      <w:r>
        <w:rPr>
          <w:i/>
          <w:iCs/>
          <w:color w:val="000000"/>
        </w:rPr>
        <w:t>niger</w:t>
      </w:r>
      <w:proofErr w:type="spellEnd"/>
      <w:r>
        <w:rPr>
          <w:color w:val="000000"/>
        </w:rPr>
        <w:t xml:space="preserve"> является активатором </w:t>
      </w:r>
      <w:proofErr w:type="spellStart"/>
      <w:r>
        <w:rPr>
          <w:color w:val="000000"/>
        </w:rPr>
        <w:t>тирозиназы</w:t>
      </w:r>
      <w:proofErr w:type="spellEnd"/>
      <w:r>
        <w:rPr>
          <w:color w:val="000000"/>
        </w:rPr>
        <w:t xml:space="preserve"> в диапазоне концентраций 1×10</w:t>
      </w:r>
      <w:r>
        <w:rPr>
          <w:color w:val="000000"/>
          <w:vertAlign w:val="superscript"/>
        </w:rPr>
        <w:t>-8</w:t>
      </w:r>
      <w:r>
        <w:rPr>
          <w:color w:val="000000"/>
        </w:rPr>
        <w:t xml:space="preserve"> -1×10</w:t>
      </w:r>
      <w:r>
        <w:rPr>
          <w:color w:val="000000"/>
          <w:vertAlign w:val="superscript"/>
        </w:rPr>
        <w:t>-5</w:t>
      </w:r>
      <w:r>
        <w:rPr>
          <w:color w:val="000000"/>
        </w:rPr>
        <w:t xml:space="preserve"> мкг/мг. Нижняя граница определяемых концентраций (</w:t>
      </w:r>
      <w:proofErr w:type="spellStart"/>
      <w:r>
        <w:rPr>
          <w:i/>
          <w:iCs/>
          <w:color w:val="000000"/>
        </w:rPr>
        <w:t>с</w:t>
      </w:r>
      <w:r>
        <w:rPr>
          <w:i/>
          <w:iCs/>
          <w:color w:val="000000"/>
          <w:vertAlign w:val="subscript"/>
        </w:rPr>
        <w:t>н</w:t>
      </w:r>
      <w:proofErr w:type="spellEnd"/>
      <w:r>
        <w:rPr>
          <w:color w:val="000000"/>
        </w:rPr>
        <w:t>) составила 7×10</w:t>
      </w:r>
      <w:r>
        <w:rPr>
          <w:color w:val="000000"/>
          <w:vertAlign w:val="superscript"/>
        </w:rPr>
        <w:t>-9</w:t>
      </w:r>
      <w:r>
        <w:rPr>
          <w:color w:val="000000"/>
        </w:rPr>
        <w:t xml:space="preserve"> мкг/мг, а максимальный процент активации – 119 %.</w:t>
      </w:r>
    </w:p>
    <w:p w14:paraId="6FEC13C2" w14:textId="77777777" w:rsidR="001E7C2A" w:rsidRDefault="00000000">
      <w:pP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При модификации поверхности рабочего электрода восстановленным оксидом графена (ВОГ), </w:t>
      </w:r>
      <w:proofErr w:type="spellStart"/>
      <w:r>
        <w:rPr>
          <w:color w:val="000000"/>
        </w:rPr>
        <w:t>многостенными</w:t>
      </w:r>
      <w:proofErr w:type="spellEnd"/>
      <w:r>
        <w:rPr>
          <w:color w:val="000000"/>
        </w:rPr>
        <w:t xml:space="preserve"> углеродными нанотрубками (МУНТ), а также нанокомпозитом на их основе эффект активации наблюдался в более широком интервале концентраций: 5×10</w:t>
      </w:r>
      <w:r>
        <w:rPr>
          <w:color w:val="000000"/>
          <w:vertAlign w:val="superscript"/>
        </w:rPr>
        <w:t>-10</w:t>
      </w:r>
      <w:r>
        <w:rPr>
          <w:color w:val="000000"/>
        </w:rPr>
        <w:t xml:space="preserve"> -1×10</w:t>
      </w:r>
      <w:r>
        <w:rPr>
          <w:color w:val="000000"/>
          <w:vertAlign w:val="superscript"/>
        </w:rPr>
        <w:t>-3</w:t>
      </w:r>
      <w:r>
        <w:rPr>
          <w:color w:val="000000"/>
        </w:rPr>
        <w:t xml:space="preserve"> мкг/мг  с </w:t>
      </w:r>
      <w:proofErr w:type="spellStart"/>
      <w:r>
        <w:rPr>
          <w:i/>
          <w:iCs/>
          <w:color w:val="000000"/>
        </w:rPr>
        <w:t>с</w:t>
      </w:r>
      <w:r>
        <w:rPr>
          <w:i/>
          <w:iCs/>
          <w:color w:val="000000"/>
          <w:vertAlign w:val="subscript"/>
        </w:rPr>
        <w:t>н</w:t>
      </w:r>
      <w:proofErr w:type="spellEnd"/>
      <w:r>
        <w:rPr>
          <w:color w:val="000000"/>
        </w:rPr>
        <w:t xml:space="preserve"> 7×10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мкг/мг – для ВОГ, 1×10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- 1×10</w:t>
      </w:r>
      <w:r>
        <w:rPr>
          <w:color w:val="000000"/>
          <w:vertAlign w:val="superscript"/>
        </w:rPr>
        <w:t>-3</w:t>
      </w:r>
      <w:r>
        <w:rPr>
          <w:color w:val="000000"/>
        </w:rPr>
        <w:t xml:space="preserve"> мкг/мг с </w:t>
      </w:r>
      <w:proofErr w:type="spellStart"/>
      <w:r>
        <w:rPr>
          <w:i/>
          <w:iCs/>
          <w:color w:val="000000"/>
        </w:rPr>
        <w:t>с</w:t>
      </w:r>
      <w:r>
        <w:rPr>
          <w:i/>
          <w:iCs/>
          <w:color w:val="000000"/>
          <w:vertAlign w:val="subscript"/>
        </w:rPr>
        <w:t>н</w:t>
      </w:r>
      <w:proofErr w:type="spellEnd"/>
      <w:r>
        <w:rPr>
          <w:color w:val="000000"/>
        </w:rPr>
        <w:t xml:space="preserve"> 6×10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мкг/мг – для МУНТ и 1×10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-1×10</w:t>
      </w:r>
      <w:r>
        <w:rPr>
          <w:color w:val="000000"/>
          <w:vertAlign w:val="superscript"/>
        </w:rPr>
        <w:t>-3</w:t>
      </w:r>
      <w:r>
        <w:rPr>
          <w:color w:val="000000"/>
        </w:rPr>
        <w:t xml:space="preserve"> мкг/мг с </w:t>
      </w:r>
      <w:proofErr w:type="spellStart"/>
      <w:r>
        <w:rPr>
          <w:i/>
          <w:iCs/>
          <w:color w:val="000000"/>
        </w:rPr>
        <w:t>с</w:t>
      </w:r>
      <w:r>
        <w:rPr>
          <w:i/>
          <w:iCs/>
          <w:color w:val="000000"/>
          <w:vertAlign w:val="subscript"/>
        </w:rPr>
        <w:t>н</w:t>
      </w:r>
      <w:proofErr w:type="spellEnd"/>
      <w:r>
        <w:rPr>
          <w:color w:val="000000"/>
        </w:rPr>
        <w:t xml:space="preserve"> 5×10</w:t>
      </w:r>
      <w:r>
        <w:rPr>
          <w:color w:val="000000"/>
          <w:vertAlign w:val="superscript"/>
        </w:rPr>
        <w:t>-11</w:t>
      </w:r>
      <w:r>
        <w:rPr>
          <w:color w:val="000000"/>
        </w:rPr>
        <w:t xml:space="preserve"> мкг/мг – для нанокомпозита М</w:t>
      </w:r>
      <w:r>
        <w:rPr>
          <w:rFonts w:eastAsia="Calibri"/>
          <w:bCs/>
        </w:rPr>
        <w:t>УНТ/НЧA</w:t>
      </w:r>
      <w:r>
        <w:rPr>
          <w:rFonts w:eastAsia="Calibri"/>
          <w:bCs/>
          <w:lang w:val="en-US"/>
        </w:rPr>
        <w:t>u</w:t>
      </w:r>
      <w:r>
        <w:rPr>
          <w:color w:val="000000"/>
        </w:rPr>
        <w:t xml:space="preserve">. Максимальная степень активации при действии данного антигена на фермент- субстратную систему </w:t>
      </w:r>
      <w:proofErr w:type="spellStart"/>
      <w:r>
        <w:rPr>
          <w:color w:val="000000"/>
        </w:rPr>
        <w:t>тирозиназа</w:t>
      </w:r>
      <w:proofErr w:type="spellEnd"/>
      <w:r>
        <w:rPr>
          <w:color w:val="000000"/>
        </w:rPr>
        <w:t xml:space="preserve"> - фенол </w:t>
      </w:r>
      <w:r>
        <w:rPr>
          <w:rFonts w:eastAsia="SimSun"/>
          <w:bCs/>
          <w:color w:val="000000"/>
          <w:lang w:eastAsia="zh-CN" w:bidi="ar"/>
        </w:rPr>
        <w:t xml:space="preserve">составила 313 % для ВОГ, 431 % для МУНТ и 450 % для МУНТ/НЧ </w:t>
      </w:r>
      <w:r>
        <w:rPr>
          <w:rFonts w:eastAsia="SimSun"/>
          <w:bCs/>
          <w:color w:val="000000"/>
          <w:lang w:val="en-US" w:eastAsia="zh-CN" w:bidi="ar"/>
        </w:rPr>
        <w:t>Au</w:t>
      </w:r>
      <w:r>
        <w:rPr>
          <w:rFonts w:eastAsia="SimSun"/>
          <w:bCs/>
          <w:color w:val="000000"/>
          <w:lang w:eastAsia="zh-CN" w:bidi="ar"/>
        </w:rPr>
        <w:t>.</w:t>
      </w:r>
    </w:p>
    <w:p w14:paraId="78F64803" w14:textId="073C204B" w:rsidR="001E7C2A" w:rsidRPr="007F42B2" w:rsidRDefault="00000000" w:rsidP="007F42B2">
      <w:pPr>
        <w:ind w:firstLine="397"/>
        <w:jc w:val="both"/>
      </w:pPr>
      <w:r>
        <w:rPr>
          <w:rFonts w:eastAsia="SimSun"/>
          <w:color w:val="000000"/>
          <w:lang w:eastAsia="zh-CN" w:bidi="ar"/>
        </w:rPr>
        <w:t xml:space="preserve">При изучении кинетических параметров ферментативной реакции в присутствии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rFonts w:eastAsia="TimesNewRomanPS-ItalicMT"/>
          <w:i/>
          <w:iCs/>
          <w:color w:val="000000"/>
          <w:lang w:eastAsia="zh-CN" w:bidi="ar"/>
        </w:rPr>
        <w:t xml:space="preserve"> </w:t>
      </w:r>
      <w:r>
        <w:rPr>
          <w:rFonts w:eastAsia="TimesNewRomanPS-ItalicMT"/>
          <w:i/>
          <w:iCs/>
          <w:color w:val="000000"/>
          <w:lang w:val="en-US" w:eastAsia="zh-CN" w:bidi="ar"/>
        </w:rPr>
        <w:t>Aspergillus</w:t>
      </w:r>
      <w:r>
        <w:rPr>
          <w:rFonts w:eastAsia="TimesNewRomanPS-ItalicMT"/>
          <w:i/>
          <w:iCs/>
          <w:color w:val="000000"/>
          <w:lang w:eastAsia="zh-CN" w:bidi="ar"/>
        </w:rPr>
        <w:t xml:space="preserve"> </w:t>
      </w:r>
      <w:proofErr w:type="spellStart"/>
      <w:r>
        <w:rPr>
          <w:rFonts w:eastAsia="TimesNewRomanPS-ItalicMT"/>
          <w:i/>
          <w:iCs/>
          <w:color w:val="000000"/>
          <w:lang w:val="en-US" w:eastAsia="zh-CN" w:bidi="ar"/>
        </w:rPr>
        <w:t>niger</w:t>
      </w:r>
      <w:proofErr w:type="spellEnd"/>
      <w:r>
        <w:rPr>
          <w:rFonts w:ascii="TimesNewRomanPS-ItalicMT" w:eastAsia="TimesNewRomanPS-ItalicMT" w:hAnsi="TimesNewRomanPS-ItalicMT" w:cs="TimesNewRomanPS-ItalicMT"/>
          <w:i/>
          <w:iCs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eastAsia="zh-CN" w:bidi="ar"/>
        </w:rPr>
        <w:t xml:space="preserve">на фермент субстратную систему </w:t>
      </w:r>
      <w:proofErr w:type="spellStart"/>
      <w:r>
        <w:rPr>
          <w:rFonts w:eastAsia="SimSun"/>
          <w:color w:val="000000"/>
          <w:lang w:eastAsia="zh-CN" w:bidi="ar"/>
        </w:rPr>
        <w:t>тирозиназа</w:t>
      </w:r>
      <w:proofErr w:type="spellEnd"/>
      <w:r>
        <w:rPr>
          <w:rFonts w:eastAsia="SimSun"/>
          <w:color w:val="000000"/>
          <w:lang w:eastAsia="zh-CN" w:bidi="ar"/>
        </w:rPr>
        <w:t>-фенол наблюдалась</w:t>
      </w:r>
      <w:r w:rsidR="00021316">
        <w:rPr>
          <w:rFonts w:eastAsia="SimSun"/>
          <w:color w:val="000000"/>
          <w:lang w:eastAsia="zh-CN" w:bidi="ar"/>
        </w:rPr>
        <w:t xml:space="preserve"> </w:t>
      </w:r>
      <w:r>
        <w:rPr>
          <w:rFonts w:eastAsia="SimSun"/>
          <w:color w:val="000000"/>
          <w:lang w:eastAsia="zh-CN" w:bidi="ar"/>
        </w:rPr>
        <w:t xml:space="preserve">двухпараметрически согласованная активация, которая характеризуется уменьшением константы </w:t>
      </w:r>
      <w:proofErr w:type="spellStart"/>
      <w:r>
        <w:rPr>
          <w:rFonts w:eastAsia="SimSun"/>
          <w:color w:val="000000"/>
          <w:lang w:eastAsia="zh-CN" w:bidi="ar"/>
        </w:rPr>
        <w:t>Михаэлиса</w:t>
      </w:r>
      <w:proofErr w:type="spellEnd"/>
      <w:r>
        <w:rPr>
          <w:rFonts w:eastAsia="SimSun"/>
          <w:color w:val="000000"/>
          <w:lang w:eastAsia="zh-CN" w:bidi="ar"/>
        </w:rPr>
        <w:t xml:space="preserve"> и увеличением максимальной скорости ферментативной реакции.</w:t>
      </w:r>
    </w:p>
    <w:p w14:paraId="40DED2A2" w14:textId="77777777" w:rsidR="001E7C2A" w:rsidRDefault="00000000">
      <w:pPr>
        <w:ind w:firstLine="397"/>
        <w:jc w:val="both"/>
        <w:rPr>
          <w:rFonts w:eastAsia="SimSun"/>
          <w:bCs/>
          <w:color w:val="000000"/>
          <w:lang w:eastAsia="zh-CN" w:bidi="ar"/>
        </w:rPr>
      </w:pPr>
      <w:r>
        <w:rPr>
          <w:rFonts w:eastAsia="SimSun"/>
          <w:bCs/>
          <w:color w:val="000000"/>
          <w:lang w:eastAsia="zh-CN" w:bidi="ar"/>
        </w:rPr>
        <w:t xml:space="preserve">Разработанные </w:t>
      </w:r>
      <w:proofErr w:type="spellStart"/>
      <w:r>
        <w:rPr>
          <w:rFonts w:eastAsia="SimSun"/>
          <w:bCs/>
          <w:color w:val="000000"/>
          <w:lang w:eastAsia="zh-CN" w:bidi="ar"/>
        </w:rPr>
        <w:t>тирозиназные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биосенсоры, модифицированные МУНТ/НЧ</w:t>
      </w:r>
      <w:r>
        <w:rPr>
          <w:rFonts w:eastAsia="SimSun"/>
          <w:bCs/>
          <w:color w:val="000000"/>
          <w:lang w:val="en-US" w:eastAsia="zh-CN" w:bidi="ar"/>
        </w:rPr>
        <w:t>Au</w:t>
      </w:r>
      <w:r>
        <w:rPr>
          <w:rFonts w:eastAsia="SimSun"/>
          <w:bCs/>
          <w:color w:val="000000"/>
          <w:lang w:eastAsia="zh-CN" w:bidi="ar"/>
        </w:rPr>
        <w:t xml:space="preserve"> апробированы при определении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rFonts w:eastAsia="SimSun"/>
          <w:bCs/>
          <w:i/>
          <w:iCs/>
          <w:color w:val="000000"/>
          <w:lang w:eastAsia="zh-CN" w:bidi="ar"/>
        </w:rPr>
        <w:t xml:space="preserve"> </w:t>
      </w:r>
      <w:r>
        <w:rPr>
          <w:rFonts w:eastAsia="SimSun"/>
          <w:bCs/>
          <w:i/>
          <w:iCs/>
          <w:color w:val="000000"/>
          <w:lang w:val="en-US" w:eastAsia="zh-CN" w:bidi="ar"/>
        </w:rPr>
        <w:t>Aspergillus</w:t>
      </w:r>
      <w:r>
        <w:rPr>
          <w:rFonts w:eastAsia="SimSun"/>
          <w:bCs/>
          <w:i/>
          <w:iCs/>
          <w:color w:val="000000"/>
          <w:lang w:eastAsia="zh-CN" w:bidi="ar"/>
        </w:rPr>
        <w:t xml:space="preserve"> </w:t>
      </w:r>
      <w:proofErr w:type="spellStart"/>
      <w:r>
        <w:rPr>
          <w:rFonts w:eastAsia="SimSun"/>
          <w:bCs/>
          <w:i/>
          <w:iCs/>
          <w:color w:val="000000"/>
          <w:lang w:val="en-US" w:eastAsia="zh-CN" w:bidi="ar"/>
        </w:rPr>
        <w:t>niger</w:t>
      </w:r>
      <w:proofErr w:type="spellEnd"/>
      <w:r>
        <w:rPr>
          <w:rFonts w:eastAsia="SimSun"/>
          <w:bCs/>
          <w:i/>
          <w:i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eastAsia="zh-CN" w:bidi="ar"/>
        </w:rPr>
        <w:t xml:space="preserve">в образце репчатого лука. Определение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</w:t>
      </w:r>
      <w:r>
        <w:rPr>
          <w:rFonts w:eastAsia="SimSun"/>
          <w:bCs/>
          <w:i/>
          <w:iCs/>
          <w:color w:val="000000"/>
          <w:lang w:val="en-US" w:eastAsia="zh-CN" w:bidi="ar"/>
        </w:rPr>
        <w:t>Aspergillus</w:t>
      </w:r>
      <w:r>
        <w:rPr>
          <w:rFonts w:eastAsia="SimSun"/>
          <w:bCs/>
          <w:i/>
          <w:iCs/>
          <w:color w:val="000000"/>
          <w:lang w:eastAsia="zh-CN" w:bidi="ar"/>
        </w:rPr>
        <w:t xml:space="preserve"> </w:t>
      </w:r>
      <w:proofErr w:type="spellStart"/>
      <w:r>
        <w:rPr>
          <w:rFonts w:eastAsia="SimSun"/>
          <w:bCs/>
          <w:i/>
          <w:iCs/>
          <w:color w:val="000000"/>
          <w:lang w:val="en-US" w:eastAsia="zh-CN" w:bidi="ar"/>
        </w:rPr>
        <w:t>niger</w:t>
      </w:r>
      <w:proofErr w:type="spellEnd"/>
      <w:r>
        <w:rPr>
          <w:rFonts w:eastAsia="SimSun"/>
          <w:bCs/>
          <w:i/>
          <w:i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eastAsia="zh-CN" w:bidi="ar"/>
        </w:rPr>
        <w:t xml:space="preserve">возможно с </w:t>
      </w:r>
      <w:proofErr w:type="spellStart"/>
      <w:r>
        <w:rPr>
          <w:rFonts w:eastAsia="SimSun"/>
          <w:bCs/>
          <w:color w:val="000000"/>
          <w:lang w:eastAsia="zh-CN" w:bidi="ar"/>
        </w:rPr>
        <w:t>Sr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не более 0.074. Полученное содержание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</w:t>
      </w:r>
      <w:r>
        <w:rPr>
          <w:rFonts w:eastAsia="SimSun"/>
          <w:bCs/>
          <w:i/>
          <w:iCs/>
          <w:color w:val="000000"/>
          <w:lang w:val="en-US" w:eastAsia="zh-CN" w:bidi="ar"/>
        </w:rPr>
        <w:t>Aspergillus</w:t>
      </w:r>
      <w:r>
        <w:rPr>
          <w:rFonts w:eastAsia="SimSun"/>
          <w:bCs/>
          <w:i/>
          <w:iCs/>
          <w:color w:val="000000"/>
          <w:lang w:eastAsia="zh-CN" w:bidi="ar"/>
        </w:rPr>
        <w:t xml:space="preserve"> </w:t>
      </w:r>
      <w:proofErr w:type="spellStart"/>
      <w:r>
        <w:rPr>
          <w:rFonts w:eastAsia="SimSun"/>
          <w:bCs/>
          <w:i/>
          <w:iCs/>
          <w:color w:val="000000"/>
          <w:lang w:val="en-US" w:eastAsia="zh-CN" w:bidi="ar"/>
        </w:rPr>
        <w:t>niger</w:t>
      </w:r>
      <w:proofErr w:type="spellEnd"/>
      <w:r>
        <w:rPr>
          <w:rFonts w:eastAsia="SimSun"/>
          <w:bCs/>
          <w:i/>
          <w:i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eastAsia="zh-CN" w:bidi="ar"/>
        </w:rPr>
        <w:t>в образце лука составило (2,7 ± 0,2) × 10</w:t>
      </w:r>
      <w:r>
        <w:rPr>
          <w:rFonts w:eastAsia="SimSun"/>
          <w:bCs/>
          <w:color w:val="000000"/>
          <w:vertAlign w:val="superscript"/>
          <w:lang w:eastAsia="zh-CN" w:bidi="ar"/>
        </w:rPr>
        <w:t xml:space="preserve">-5 </w:t>
      </w:r>
      <w:r>
        <w:rPr>
          <w:rFonts w:eastAsia="SimSun"/>
          <w:bCs/>
          <w:color w:val="000000"/>
          <w:lang w:eastAsia="zh-CN" w:bidi="ar"/>
        </w:rPr>
        <w:t>мкг/мг. Для подтверждения полученных результатов в лаборатории микологии Казанского НИИ эпидемиологии и микробиологии Роспотребнадзора провели посев данного образца лука на наличие исследуемого патогенного гриба. Проба оказалась положительной, что хорошо согласуется с полученными нами результатами.</w:t>
      </w:r>
    </w:p>
    <w:p w14:paraId="3EDAFC8A" w14:textId="77777777" w:rsidR="001E7C2A" w:rsidRDefault="00000000">
      <w:pPr>
        <w:ind w:firstLine="397"/>
        <w:jc w:val="both"/>
        <w:rPr>
          <w:rFonts w:eastAsia="SimSun"/>
          <w:bCs/>
          <w:color w:val="000000"/>
          <w:lang w:eastAsia="zh-CN" w:bidi="ar"/>
        </w:rPr>
      </w:pPr>
      <w:r>
        <w:rPr>
          <w:rFonts w:eastAsia="SimSun"/>
          <w:bCs/>
          <w:color w:val="000000"/>
          <w:lang w:eastAsia="zh-CN" w:bidi="ar"/>
        </w:rPr>
        <w:t xml:space="preserve">Предложенные биосенсоры позволили провести анализ на наличие следовых количеств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val="en-US" w:eastAsia="zh-CN" w:bidi="ar"/>
        </w:rPr>
        <w:t>Aspergillus</w:t>
      </w:r>
      <w:r>
        <w:rPr>
          <w:rFonts w:eastAsia="SimSun"/>
          <w:bCs/>
          <w:color w:val="000000"/>
          <w:lang w:eastAsia="zh-CN" w:bidi="ar"/>
        </w:rPr>
        <w:t xml:space="preserve">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niger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в образце жидкости бронхоальвеолярного </w:t>
      </w:r>
      <w:proofErr w:type="spellStart"/>
      <w:r>
        <w:rPr>
          <w:rFonts w:eastAsia="SimSun"/>
          <w:bCs/>
          <w:color w:val="000000"/>
          <w:lang w:eastAsia="zh-CN" w:bidi="ar"/>
        </w:rPr>
        <w:t>лаважа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(БАЛ) пациента с подозрением на аспергиллез легких с положительным тестом ПЦР на </w:t>
      </w:r>
      <w:r>
        <w:rPr>
          <w:rFonts w:eastAsia="SimSun"/>
          <w:bCs/>
          <w:color w:val="000000"/>
          <w:lang w:val="en-US" w:eastAsia="zh-CN" w:bidi="ar"/>
        </w:rPr>
        <w:t>Aspergillus</w:t>
      </w:r>
      <w:r>
        <w:rPr>
          <w:rFonts w:eastAsia="SimSun"/>
          <w:bCs/>
          <w:color w:val="000000"/>
          <w:lang w:eastAsia="zh-CN" w:bidi="ar"/>
        </w:rPr>
        <w:t xml:space="preserve">. Образец был предоставлен детской республиканской клинической больницей г. Казани. Содержание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val="en-US" w:eastAsia="zh-CN" w:bidi="ar"/>
        </w:rPr>
        <w:t>Aspergillus</w:t>
      </w:r>
      <w:r>
        <w:rPr>
          <w:rFonts w:eastAsia="SimSun"/>
          <w:bCs/>
          <w:color w:val="000000"/>
          <w:lang w:eastAsia="zh-CN" w:bidi="ar"/>
        </w:rPr>
        <w:t xml:space="preserve">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niger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в образце БАЛ соответствовал (1.0±0,4) </w:t>
      </w:r>
      <w:proofErr w:type="spellStart"/>
      <w:r>
        <w:rPr>
          <w:rFonts w:eastAsia="SimSun"/>
          <w:bCs/>
          <w:color w:val="000000"/>
          <w:lang w:eastAsia="zh-CN" w:bidi="ar"/>
        </w:rPr>
        <w:t>нг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/мл. Параллельно данный образец БАЛ был исследован при помощи амперометрического иммуноферментного сенсора на основе совместно иммобилизованных холинэстеразы и смеси антител к антигенам </w:t>
      </w:r>
      <w:r>
        <w:rPr>
          <w:rFonts w:eastAsia="SimSun"/>
          <w:bCs/>
          <w:color w:val="000000"/>
          <w:lang w:val="en-US" w:eastAsia="zh-CN" w:bidi="ar"/>
        </w:rPr>
        <w:t>Aspergillus</w:t>
      </w:r>
      <w:r>
        <w:rPr>
          <w:rFonts w:eastAsia="SimSun"/>
          <w:bCs/>
          <w:color w:val="000000"/>
          <w:lang w:eastAsia="zh-CN" w:bidi="ar"/>
        </w:rPr>
        <w:t xml:space="preserve">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niger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, </w:t>
      </w:r>
      <w:r>
        <w:rPr>
          <w:rFonts w:eastAsia="SimSun"/>
          <w:bCs/>
          <w:color w:val="000000"/>
          <w:lang w:val="en-US" w:eastAsia="zh-CN" w:bidi="ar"/>
        </w:rPr>
        <w:t>Aspergillus</w:t>
      </w:r>
      <w:r>
        <w:rPr>
          <w:rFonts w:eastAsia="SimSun"/>
          <w:b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val="en-US" w:eastAsia="zh-CN" w:bidi="ar"/>
        </w:rPr>
        <w:t>fumigatus</w:t>
      </w:r>
      <w:r>
        <w:rPr>
          <w:rFonts w:eastAsia="SimSun"/>
          <w:bCs/>
          <w:color w:val="000000"/>
          <w:lang w:eastAsia="zh-CN" w:bidi="ar"/>
        </w:rPr>
        <w:t xml:space="preserve">, </w:t>
      </w:r>
      <w:r>
        <w:rPr>
          <w:rFonts w:eastAsia="SimSun"/>
          <w:bCs/>
          <w:color w:val="000000"/>
          <w:lang w:val="en-US" w:eastAsia="zh-CN" w:bidi="ar"/>
        </w:rPr>
        <w:t>Aspergillus</w:t>
      </w:r>
      <w:r>
        <w:rPr>
          <w:rFonts w:eastAsia="SimSun"/>
          <w:b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val="en-US" w:eastAsia="zh-CN" w:bidi="ar"/>
        </w:rPr>
        <w:t>flavus</w:t>
      </w:r>
      <w:r>
        <w:rPr>
          <w:rFonts w:eastAsia="SimSun"/>
          <w:bCs/>
          <w:color w:val="000000"/>
          <w:lang w:eastAsia="zh-CN" w:bidi="ar"/>
        </w:rPr>
        <w:t xml:space="preserve">. Выявлено присутствие 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Ar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 </w:t>
      </w:r>
      <w:r>
        <w:rPr>
          <w:rFonts w:eastAsia="SimSun"/>
          <w:bCs/>
          <w:color w:val="000000"/>
          <w:lang w:val="en-US" w:eastAsia="zh-CN" w:bidi="ar"/>
        </w:rPr>
        <w:t>Aspergillus</w:t>
      </w:r>
      <w:r>
        <w:rPr>
          <w:rFonts w:eastAsia="SimSun"/>
          <w:bCs/>
          <w:color w:val="000000"/>
          <w:lang w:eastAsia="zh-CN" w:bidi="ar"/>
        </w:rPr>
        <w:t xml:space="preserve"> (</w:t>
      </w:r>
      <w:proofErr w:type="spellStart"/>
      <w:r>
        <w:rPr>
          <w:rFonts w:eastAsia="SimSun"/>
          <w:bCs/>
          <w:color w:val="000000"/>
          <w:lang w:val="en-US" w:eastAsia="zh-CN" w:bidi="ar"/>
        </w:rPr>
        <w:t>niger</w:t>
      </w:r>
      <w:proofErr w:type="spellEnd"/>
      <w:r>
        <w:rPr>
          <w:rFonts w:eastAsia="SimSun"/>
          <w:bCs/>
          <w:color w:val="000000"/>
          <w:lang w:eastAsia="zh-CN" w:bidi="ar"/>
        </w:rPr>
        <w:t xml:space="preserve">, </w:t>
      </w:r>
      <w:r>
        <w:rPr>
          <w:rFonts w:eastAsia="SimSun"/>
          <w:bCs/>
          <w:color w:val="000000"/>
          <w:lang w:val="en-US" w:eastAsia="zh-CN" w:bidi="ar"/>
        </w:rPr>
        <w:t>fumigatus</w:t>
      </w:r>
      <w:r>
        <w:rPr>
          <w:rFonts w:eastAsia="SimSun"/>
          <w:bCs/>
          <w:color w:val="000000"/>
          <w:lang w:eastAsia="zh-CN" w:bidi="ar"/>
        </w:rPr>
        <w:t xml:space="preserve">, </w:t>
      </w:r>
      <w:r>
        <w:rPr>
          <w:rFonts w:eastAsia="SimSun"/>
          <w:bCs/>
          <w:color w:val="000000"/>
          <w:lang w:val="en-US" w:eastAsia="zh-CN" w:bidi="ar"/>
        </w:rPr>
        <w:t>flavus</w:t>
      </w:r>
      <w:r>
        <w:rPr>
          <w:rFonts w:eastAsia="SimSun"/>
          <w:bCs/>
          <w:color w:val="000000"/>
          <w:lang w:eastAsia="zh-CN" w:bidi="ar"/>
        </w:rPr>
        <w:t>) в концентрации (1,1 ± 0,6) × 10</w:t>
      </w:r>
      <w:r>
        <w:rPr>
          <w:rFonts w:eastAsia="SimSun"/>
          <w:bCs/>
          <w:color w:val="000000"/>
          <w:vertAlign w:val="superscript"/>
          <w:lang w:eastAsia="zh-CN" w:bidi="ar"/>
        </w:rPr>
        <w:t>-5</w:t>
      </w:r>
      <w:r>
        <w:rPr>
          <w:rFonts w:eastAsia="SimSun"/>
          <w:bCs/>
          <w:color w:val="000000"/>
          <w:lang w:eastAsia="zh-CN" w:bidi="ar"/>
        </w:rPr>
        <w:t xml:space="preserve"> мг/мл.</w:t>
      </w:r>
    </w:p>
    <w:sectPr w:rsidR="001E7C2A">
      <w:pgSz w:w="11906" w:h="16838"/>
      <w:pgMar w:top="1134" w:right="1361" w:bottom="1127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ItalicMT">
    <w:altName w:val="Segoe Print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29C7"/>
    <w:rsid w:val="00021316"/>
    <w:rsid w:val="00063966"/>
    <w:rsid w:val="00074FD4"/>
    <w:rsid w:val="00075D6E"/>
    <w:rsid w:val="00086081"/>
    <w:rsid w:val="0009449A"/>
    <w:rsid w:val="00094FD0"/>
    <w:rsid w:val="000B11EE"/>
    <w:rsid w:val="000E334E"/>
    <w:rsid w:val="00101A1C"/>
    <w:rsid w:val="00103657"/>
    <w:rsid w:val="00106375"/>
    <w:rsid w:val="00107AA3"/>
    <w:rsid w:val="00107DA0"/>
    <w:rsid w:val="00116478"/>
    <w:rsid w:val="00130241"/>
    <w:rsid w:val="0014239E"/>
    <w:rsid w:val="00150C09"/>
    <w:rsid w:val="001848B2"/>
    <w:rsid w:val="001E61C2"/>
    <w:rsid w:val="001E7C2A"/>
    <w:rsid w:val="001F0493"/>
    <w:rsid w:val="00220C5B"/>
    <w:rsid w:val="0022260A"/>
    <w:rsid w:val="002264EE"/>
    <w:rsid w:val="0023307C"/>
    <w:rsid w:val="00255381"/>
    <w:rsid w:val="002B1CD0"/>
    <w:rsid w:val="0031361E"/>
    <w:rsid w:val="00344930"/>
    <w:rsid w:val="00373E2D"/>
    <w:rsid w:val="003803F6"/>
    <w:rsid w:val="00391C38"/>
    <w:rsid w:val="003B76D6"/>
    <w:rsid w:val="003D09AD"/>
    <w:rsid w:val="003E2601"/>
    <w:rsid w:val="003F4E6B"/>
    <w:rsid w:val="0044275E"/>
    <w:rsid w:val="0049246C"/>
    <w:rsid w:val="004A26A3"/>
    <w:rsid w:val="004B029C"/>
    <w:rsid w:val="004F0EDF"/>
    <w:rsid w:val="00522BF1"/>
    <w:rsid w:val="00537E42"/>
    <w:rsid w:val="00564628"/>
    <w:rsid w:val="00590166"/>
    <w:rsid w:val="005B07E6"/>
    <w:rsid w:val="005D022B"/>
    <w:rsid w:val="005E5BE9"/>
    <w:rsid w:val="00651F8E"/>
    <w:rsid w:val="00665279"/>
    <w:rsid w:val="00674B4D"/>
    <w:rsid w:val="0069427D"/>
    <w:rsid w:val="006B607E"/>
    <w:rsid w:val="006F7A19"/>
    <w:rsid w:val="00705378"/>
    <w:rsid w:val="007213E1"/>
    <w:rsid w:val="00775389"/>
    <w:rsid w:val="00797838"/>
    <w:rsid w:val="007C36D8"/>
    <w:rsid w:val="007F2744"/>
    <w:rsid w:val="007F42B2"/>
    <w:rsid w:val="008931BE"/>
    <w:rsid w:val="00896027"/>
    <w:rsid w:val="008C67E3"/>
    <w:rsid w:val="00914205"/>
    <w:rsid w:val="00921D45"/>
    <w:rsid w:val="009426C0"/>
    <w:rsid w:val="00980A65"/>
    <w:rsid w:val="009A66DB"/>
    <w:rsid w:val="009B2F80"/>
    <w:rsid w:val="009B3300"/>
    <w:rsid w:val="009F3380"/>
    <w:rsid w:val="00A02163"/>
    <w:rsid w:val="00A314FE"/>
    <w:rsid w:val="00A65526"/>
    <w:rsid w:val="00A74BCF"/>
    <w:rsid w:val="00AA1D62"/>
    <w:rsid w:val="00AC0FBD"/>
    <w:rsid w:val="00AD29A7"/>
    <w:rsid w:val="00AD7380"/>
    <w:rsid w:val="00BD675E"/>
    <w:rsid w:val="00BF36F8"/>
    <w:rsid w:val="00BF4622"/>
    <w:rsid w:val="00C36346"/>
    <w:rsid w:val="00C416AD"/>
    <w:rsid w:val="00C5276F"/>
    <w:rsid w:val="00C844E2"/>
    <w:rsid w:val="00C92088"/>
    <w:rsid w:val="00CD00B1"/>
    <w:rsid w:val="00CF7EF4"/>
    <w:rsid w:val="00D1015B"/>
    <w:rsid w:val="00D22306"/>
    <w:rsid w:val="00D374E2"/>
    <w:rsid w:val="00D37D84"/>
    <w:rsid w:val="00D42542"/>
    <w:rsid w:val="00D8121C"/>
    <w:rsid w:val="00DD47C4"/>
    <w:rsid w:val="00DE3A25"/>
    <w:rsid w:val="00E22189"/>
    <w:rsid w:val="00E7193E"/>
    <w:rsid w:val="00E74069"/>
    <w:rsid w:val="00E81D35"/>
    <w:rsid w:val="00EB1F49"/>
    <w:rsid w:val="00EC7823"/>
    <w:rsid w:val="00EE04AD"/>
    <w:rsid w:val="00F21F35"/>
    <w:rsid w:val="00F544E9"/>
    <w:rsid w:val="00F55054"/>
    <w:rsid w:val="00F61389"/>
    <w:rsid w:val="00F865B3"/>
    <w:rsid w:val="00FA2140"/>
    <w:rsid w:val="00FB1509"/>
    <w:rsid w:val="00FD2165"/>
    <w:rsid w:val="00FF1903"/>
    <w:rsid w:val="15B27A7B"/>
    <w:rsid w:val="7ED70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9C439"/>
  <w15:docId w15:val="{0112E2C1-7CB3-413B-8809-613D5AC1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qFormat/>
    <w:rPr>
      <w:color w:val="0000FF" w:themeColor="hyperlink"/>
      <w:u w:val="single"/>
    </w:rPr>
  </w:style>
  <w:style w:type="paragraph" w:styleId="a4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link w:val="a7"/>
    <w:uiPriority w:val="34"/>
    <w:qFormat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qFormat/>
    <w:locked/>
  </w:style>
  <w:style w:type="character" w:styleId="a8">
    <w:name w:val="Placeholder Text"/>
    <w:basedOn w:val="a0"/>
    <w:uiPriority w:val="99"/>
    <w:semiHidden/>
    <w:qFormat/>
    <w:rPr>
      <w:color w:val="808080"/>
    </w:rPr>
  </w:style>
  <w:style w:type="paragraph" w:styleId="a9">
    <w:name w:val="No Spacing"/>
    <w:uiPriority w:val="1"/>
    <w:qFormat/>
    <w:rPr>
      <w:rFonts w:ascii="Calibri" w:eastAsia="Calibri" w:hAnsi="Calibri"/>
      <w:sz w:val="22"/>
      <w:szCs w:val="22"/>
      <w:lang w:val="en-US" w:eastAsia="en-US" w:bidi="en-US"/>
    </w:rPr>
  </w:style>
  <w:style w:type="character" w:customStyle="1" w:styleId="10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11">
    <w:name w:val="Рецензия1"/>
    <w:hidden/>
    <w:uiPriority w:val="99"/>
    <w:semiHidden/>
    <w:qFormat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omalozemova2017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559</Words>
  <Characters>3187</Characters>
  <Application>Microsoft Office Word</Application>
  <DocSecurity>0</DocSecurity>
  <Lines>26</Lines>
  <Paragraphs>7</Paragraphs>
  <ScaleCrop>false</ScaleCrop>
  <Company>Lomonosov MSU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Малоземова Ольга Евгеньевна</cp:lastModifiedBy>
  <cp:revision>5</cp:revision>
  <cp:lastPrinted>2026-01-28T14:24:00Z</cp:lastPrinted>
  <dcterms:created xsi:type="dcterms:W3CDTF">2026-03-01T13:35:00Z</dcterms:created>
  <dcterms:modified xsi:type="dcterms:W3CDTF">2026-03-02T08:11:00Z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  <property fmtid="{D5CDD505-2E9C-101B-9397-08002B2CF9AE}" pid="25" name="KSOProductBuildVer">
    <vt:lpwstr>1049-12.2.0.23196</vt:lpwstr>
  </property>
  <property fmtid="{D5CDD505-2E9C-101B-9397-08002B2CF9AE}" pid="26" name="ICV">
    <vt:lpwstr>CE39E96D706F4B80BD7EDFFE3967C9E2_12</vt:lpwstr>
  </property>
</Properties>
</file>