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A35B3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b/>
          <w:bCs/>
        </w:rPr>
        <w:t>Композиционные материалы на основе нитрида ванадия и восстановленного оксида графена: синтез, свойства и пероксидазоподобная активность</w:t>
      </w:r>
    </w:p>
    <w:p w14:paraId="00000002" w14:textId="1CD74EF3" w:rsidR="009A35B3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b/>
          <w:bCs/>
          <w:i/>
          <w:iCs/>
        </w:rPr>
        <w:t>Сушко К.В.</w:t>
      </w:r>
      <w:r>
        <w:rPr>
          <w:b/>
          <w:bCs/>
          <w:i/>
          <w:iCs/>
          <w:color w:val="000000"/>
          <w:vertAlign w:val="superscript"/>
        </w:rPr>
        <w:t>1</w:t>
      </w:r>
      <w:r>
        <w:rPr>
          <w:b/>
          <w:bCs/>
          <w:i/>
          <w:iCs/>
          <w:color w:val="000000"/>
        </w:rPr>
        <w:t xml:space="preserve">, </w:t>
      </w:r>
      <w:r>
        <w:rPr>
          <w:b/>
          <w:bCs/>
          <w:i/>
          <w:iCs/>
        </w:rPr>
        <w:t>Михайлов А.А.</w:t>
      </w:r>
      <w:r>
        <w:rPr>
          <w:b/>
          <w:bCs/>
          <w:i/>
          <w:iCs/>
          <w:vertAlign w:val="superscript"/>
        </w:rPr>
        <w:t>2</w:t>
      </w:r>
      <w:r>
        <w:rPr>
          <w:b/>
          <w:bCs/>
          <w:i/>
          <w:iCs/>
        </w:rPr>
        <w:t>, Попков М.А.</w:t>
      </w:r>
      <w:r>
        <w:rPr>
          <w:b/>
          <w:bCs/>
          <w:i/>
          <w:iCs/>
          <w:vertAlign w:val="superscript"/>
        </w:rPr>
        <w:t>2</w:t>
      </w:r>
      <w:r>
        <w:rPr>
          <w:b/>
          <w:bCs/>
          <w:i/>
          <w:iCs/>
        </w:rPr>
        <w:t>, Приходченко П.В.</w:t>
      </w:r>
      <w:r>
        <w:rPr>
          <w:b/>
          <w:bCs/>
          <w:i/>
          <w:iCs/>
          <w:vertAlign w:val="superscript"/>
        </w:rPr>
        <w:t>2</w:t>
      </w:r>
    </w:p>
    <w:p w14:paraId="00000003" w14:textId="2DDE61A6" w:rsidR="009A35B3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iCs/>
          <w:color w:val="000000"/>
        </w:rPr>
        <w:t>Студент,</w:t>
      </w:r>
      <w:r w:rsidR="00662194">
        <w:rPr>
          <w:i/>
          <w:iCs/>
          <w:lang w:val="ru-RU"/>
        </w:rPr>
        <w:t xml:space="preserve"> 3 </w:t>
      </w:r>
      <w:r>
        <w:rPr>
          <w:i/>
          <w:iCs/>
          <w:color w:val="000000"/>
        </w:rPr>
        <w:t>курс специалитета</w:t>
      </w:r>
    </w:p>
    <w:p w14:paraId="00000004" w14:textId="77777777" w:rsidR="009A35B3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iCs/>
          <w:color w:val="000000"/>
          <w:vertAlign w:val="superscript"/>
        </w:rPr>
        <w:t>1</w:t>
      </w:r>
      <w:r>
        <w:rPr>
          <w:i/>
          <w:iCs/>
          <w:color w:val="000000"/>
        </w:rPr>
        <w:t xml:space="preserve">МГУ имени М.В. Ломоносова, </w:t>
      </w:r>
      <w:r>
        <w:rPr>
          <w:i/>
          <w:iCs/>
        </w:rPr>
        <w:t>факультет фундаментальной физико-химической инженерии</w:t>
      </w:r>
      <w:r>
        <w:rPr>
          <w:i/>
          <w:iCs/>
          <w:color w:val="000000"/>
        </w:rPr>
        <w:t xml:space="preserve">, Москва, Россия </w:t>
      </w:r>
    </w:p>
    <w:p w14:paraId="00000005" w14:textId="77777777" w:rsidR="009A35B3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iCs/>
          <w:color w:val="000000"/>
          <w:vertAlign w:val="superscript"/>
        </w:rPr>
        <w:t>2</w:t>
      </w:r>
      <w:r>
        <w:rPr>
          <w:i/>
          <w:iCs/>
          <w:color w:val="000000"/>
        </w:rPr>
        <w:t xml:space="preserve">Институт общей и неорганической химии им. </w:t>
      </w:r>
      <w:r>
        <w:rPr>
          <w:i/>
          <w:iCs/>
        </w:rPr>
        <w:t>Н.С. Курнакова</w:t>
      </w:r>
      <w:r>
        <w:rPr>
          <w:i/>
          <w:iCs/>
          <w:color w:val="000000"/>
        </w:rPr>
        <w:t xml:space="preserve"> РАН, </w:t>
      </w:r>
      <w:r>
        <w:rPr>
          <w:i/>
          <w:iCs/>
        </w:rPr>
        <w:t>Москва</w:t>
      </w:r>
      <w:r>
        <w:rPr>
          <w:i/>
          <w:iCs/>
          <w:color w:val="000000"/>
        </w:rPr>
        <w:t>, Россия</w:t>
      </w:r>
    </w:p>
    <w:p w14:paraId="00000006" w14:textId="77777777" w:rsidR="009A35B3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</w:pPr>
      <w:r>
        <w:rPr>
          <w:i/>
          <w:iCs/>
          <w:color w:val="000000"/>
        </w:rPr>
        <w:t xml:space="preserve">E-mail: </w:t>
      </w:r>
      <w:r>
        <w:rPr>
          <w:i/>
          <w:iCs/>
          <w:color w:val="000000"/>
          <w:u w:val="single"/>
        </w:rPr>
        <w:t>xenonsushkoofficial@gmail.com</w:t>
      </w:r>
      <w:r>
        <w:t xml:space="preserve"> </w:t>
      </w:r>
      <w:bookmarkStart w:id="0" w:name="oo98mqrd1tdz" w:colFirst="0" w:colLast="0"/>
      <w:bookmarkEnd w:id="0"/>
    </w:p>
    <w:p w14:paraId="0FB29B38" w14:textId="77777777" w:rsidR="00FD0B79" w:rsidRDefault="00FD0B7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lang w:val="ru-RU"/>
        </w:rPr>
      </w:pPr>
    </w:p>
    <w:p w14:paraId="01E952E3" w14:textId="78C7879A" w:rsidR="00FD0B79" w:rsidRPr="00FD0B79" w:rsidRDefault="00FD0B79" w:rsidP="00FD0B7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lang w:val="ru-RU"/>
        </w:rPr>
      </w:pPr>
      <w:r>
        <w:rPr>
          <w:lang w:val="ru-RU"/>
        </w:rPr>
        <w:t xml:space="preserve">Соединения </w:t>
      </w:r>
      <w:r w:rsidRPr="00FD0B79">
        <w:rPr>
          <w:color w:val="000000"/>
        </w:rPr>
        <w:t>переходных элементов, таких, как ванадий, железо, кобальт и др. имеют химические и физические свойства, позволяющие использовать их в качестве искусственных ферментов — нанозимов. В частности, пероксидазоподобную (POD) активность проявляет нитрид ванадия VN, в том числе на различных подложках: оксид графена, углеродные нанотрубки и др. [1, 2]. Такие материалы нашли применение в биосенсорике в качестве маркеров.</w:t>
      </w:r>
    </w:p>
    <w:p w14:paraId="00000009" w14:textId="10AAF625" w:rsidR="009A35B3" w:rsidRDefault="00FD0B7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highlight w:val="magenta"/>
        </w:rPr>
      </w:pPr>
      <w:r>
        <w:rPr>
          <w:lang w:val="ru-RU"/>
        </w:rPr>
        <w:t xml:space="preserve">В данной работе </w:t>
      </w:r>
      <w:r w:rsidRPr="00FD0B79">
        <w:rPr>
          <w:color w:val="000000"/>
        </w:rPr>
        <w:t>представлен метод получения композиционного материала на основе нитрида ванадия и восстановленного оксида графена.  Синтез заключается в осаждении пероксованадата аммония на поверхность частиц оксида графена. Наличие пероксогруп позволил</w:t>
      </w:r>
      <w:r w:rsidR="00D925F6">
        <w:rPr>
          <w:color w:val="000000"/>
          <w:lang w:val="ru-RU"/>
        </w:rPr>
        <w:t>о</w:t>
      </w:r>
      <w:r w:rsidRPr="00FD0B79">
        <w:rPr>
          <w:color w:val="000000"/>
        </w:rPr>
        <w:t xml:space="preserve"> осуществить модификацию поверхности обработкой растворами солей Co (II) и Fe (III), что в свою очередь обеспечивает равномерное распределение допантов в материале. Морфология и фазовый состав полученных материалов исследовали методами сканирующей электронной микроскопии (СЭМ) и рентгенофазового анализа (РФА). Изображения СЭМ подтвержда</w:t>
      </w:r>
      <w:r w:rsidR="00D925F6">
        <w:rPr>
          <w:color w:val="000000"/>
          <w:lang w:val="ru-RU"/>
        </w:rPr>
        <w:t>ю</w:t>
      </w:r>
      <w:r w:rsidRPr="00FD0B79">
        <w:rPr>
          <w:color w:val="000000"/>
        </w:rPr>
        <w:t>т развитую морфологию поверхности материалов и равномерное распределение частиц нитрида ванадия и допантов по поверхности листочков оксида графена. Для полученных материалов измеряли POD-активность по реакции нанозима с TMB при рН 4.0, 37°C (652 нм). Для VN-rGO эффективность K</w:t>
      </w:r>
      <w:r w:rsidRPr="00FD0B79">
        <w:rPr>
          <w:color w:val="000000"/>
          <w:vertAlign w:val="subscript"/>
        </w:rPr>
        <w:t>cat</w:t>
      </w:r>
      <w:r w:rsidRPr="00FD0B79">
        <w:rPr>
          <w:color w:val="000000"/>
        </w:rPr>
        <w:t>/K</w:t>
      </w:r>
      <w:r w:rsidRPr="00FD0B79">
        <w:rPr>
          <w:color w:val="000000"/>
          <w:vertAlign w:val="subscript"/>
        </w:rPr>
        <w:t>m</w:t>
      </w:r>
      <w:r w:rsidRPr="00FD0B79">
        <w:rPr>
          <w:color w:val="000000"/>
        </w:rPr>
        <w:t xml:space="preserve"> = 407.9 л</w:t>
      </w:r>
      <w:r w:rsidRPr="00FD0B79">
        <w:rPr>
          <w:color w:val="000000"/>
          <w:vertAlign w:val="superscript"/>
        </w:rPr>
        <w:t>2</w:t>
      </w:r>
      <w:r w:rsidRPr="00FD0B79">
        <w:rPr>
          <w:color w:val="000000"/>
        </w:rPr>
        <w:t>*моль</w:t>
      </w:r>
      <w:r w:rsidRPr="00FD0B79">
        <w:rPr>
          <w:color w:val="000000"/>
          <w:vertAlign w:val="superscript"/>
        </w:rPr>
        <w:t>-1</w:t>
      </w:r>
      <w:r w:rsidRPr="00FD0B79">
        <w:rPr>
          <w:color w:val="000000"/>
        </w:rPr>
        <w:t>*мин</w:t>
      </w:r>
      <w:r w:rsidRPr="00FD0B79">
        <w:rPr>
          <w:color w:val="000000"/>
          <w:vertAlign w:val="superscript"/>
        </w:rPr>
        <w:t>-1</w:t>
      </w:r>
      <w:r w:rsidRPr="00FD0B79">
        <w:rPr>
          <w:color w:val="000000"/>
        </w:rPr>
        <w:t xml:space="preserve"> по TMB. Допирование железом повышает POD-активность: для Fe(1%)-VN-rGO K</w:t>
      </w:r>
      <w:r w:rsidRPr="00FD0B79">
        <w:rPr>
          <w:color w:val="000000"/>
          <w:vertAlign w:val="subscript"/>
        </w:rPr>
        <w:t>cat</w:t>
      </w:r>
      <w:r w:rsidRPr="00FD0B79">
        <w:rPr>
          <w:color w:val="000000"/>
        </w:rPr>
        <w:t>/K</w:t>
      </w:r>
      <w:r w:rsidRPr="00FD0B79">
        <w:rPr>
          <w:color w:val="000000"/>
          <w:vertAlign w:val="subscript"/>
        </w:rPr>
        <w:t>m</w:t>
      </w:r>
      <w:r w:rsidRPr="00FD0B79">
        <w:rPr>
          <w:color w:val="000000"/>
        </w:rPr>
        <w:t xml:space="preserve"> = 1297.1 л</w:t>
      </w:r>
      <w:r w:rsidRPr="00FD0B79">
        <w:rPr>
          <w:color w:val="000000"/>
          <w:vertAlign w:val="superscript"/>
        </w:rPr>
        <w:t>2</w:t>
      </w:r>
      <w:r w:rsidRPr="00FD0B79">
        <w:rPr>
          <w:color w:val="000000"/>
        </w:rPr>
        <w:t>*моль</w:t>
      </w:r>
      <w:r w:rsidRPr="00FD0B79">
        <w:rPr>
          <w:color w:val="000000"/>
          <w:vertAlign w:val="superscript"/>
        </w:rPr>
        <w:t>-1</w:t>
      </w:r>
      <w:r w:rsidRPr="00FD0B79">
        <w:rPr>
          <w:color w:val="000000"/>
        </w:rPr>
        <w:t>*мин</w:t>
      </w:r>
      <w:r w:rsidRPr="00FD0B79">
        <w:rPr>
          <w:color w:val="000000"/>
          <w:vertAlign w:val="superscript"/>
        </w:rPr>
        <w:t>-1</w:t>
      </w:r>
      <w:r w:rsidRPr="00FD0B79">
        <w:rPr>
          <w:color w:val="000000"/>
        </w:rPr>
        <w:t>. Введение в систему Co повышает активность в меньшей степени: для Co(1%)-VN-rGO K</w:t>
      </w:r>
      <w:r w:rsidRPr="00FD0B79">
        <w:rPr>
          <w:color w:val="000000"/>
          <w:vertAlign w:val="subscript"/>
        </w:rPr>
        <w:t>cat</w:t>
      </w:r>
      <w:r w:rsidRPr="00FD0B79">
        <w:rPr>
          <w:color w:val="000000"/>
        </w:rPr>
        <w:t>/K</w:t>
      </w:r>
      <w:r w:rsidRPr="00FD0B79">
        <w:rPr>
          <w:color w:val="000000"/>
          <w:vertAlign w:val="subscript"/>
        </w:rPr>
        <w:t>m</w:t>
      </w:r>
      <w:r w:rsidRPr="00FD0B79">
        <w:rPr>
          <w:color w:val="000000"/>
        </w:rPr>
        <w:t xml:space="preserve"> = 941.8 л</w:t>
      </w:r>
      <w:r w:rsidRPr="00FD0B79">
        <w:rPr>
          <w:color w:val="000000"/>
          <w:vertAlign w:val="superscript"/>
        </w:rPr>
        <w:t>2</w:t>
      </w:r>
      <w:r w:rsidRPr="00FD0B79">
        <w:rPr>
          <w:color w:val="000000"/>
        </w:rPr>
        <w:t>*моль</w:t>
      </w:r>
      <w:r w:rsidRPr="00FD0B79">
        <w:rPr>
          <w:color w:val="000000"/>
          <w:vertAlign w:val="superscript"/>
        </w:rPr>
        <w:t>-1</w:t>
      </w:r>
      <w:r w:rsidRPr="00FD0B79">
        <w:rPr>
          <w:color w:val="000000"/>
        </w:rPr>
        <w:t>*мин</w:t>
      </w:r>
      <w:r w:rsidRPr="00FD0B79">
        <w:rPr>
          <w:color w:val="000000"/>
          <w:vertAlign w:val="superscript"/>
        </w:rPr>
        <w:t>-1</w:t>
      </w:r>
      <w:r w:rsidRPr="00FD0B79">
        <w:rPr>
          <w:color w:val="000000"/>
        </w:rPr>
        <w:t xml:space="preserve">. Полученные скорости реакции сопоставимы с литературными данными и в некоторых случаях оказываются выше: эффективность VN@CNFs </w:t>
      </w:r>
      <w:r>
        <w:rPr>
          <w:color w:val="000000"/>
          <w:lang w:val="ru-RU"/>
        </w:rPr>
        <w:t>–</w:t>
      </w:r>
      <w:r w:rsidRPr="00FD0B79">
        <w:rPr>
          <w:color w:val="000000"/>
        </w:rPr>
        <w:t xml:space="preserve"> K</w:t>
      </w:r>
      <w:r w:rsidRPr="00FD0B79">
        <w:rPr>
          <w:color w:val="000000"/>
          <w:vertAlign w:val="subscript"/>
        </w:rPr>
        <w:t>cat</w:t>
      </w:r>
      <w:r w:rsidRPr="00FD0B79">
        <w:rPr>
          <w:color w:val="000000"/>
        </w:rPr>
        <w:t>/K</w:t>
      </w:r>
      <w:r w:rsidRPr="00FD0B79">
        <w:rPr>
          <w:color w:val="000000"/>
          <w:vertAlign w:val="subscript"/>
        </w:rPr>
        <w:t>m</w:t>
      </w:r>
      <w:r w:rsidRPr="00FD0B79">
        <w:rPr>
          <w:color w:val="000000"/>
        </w:rPr>
        <w:t xml:space="preserve"> = 160.1 л</w:t>
      </w:r>
      <w:r w:rsidRPr="00FD0B79">
        <w:rPr>
          <w:color w:val="000000"/>
          <w:vertAlign w:val="superscript"/>
        </w:rPr>
        <w:t>2</w:t>
      </w:r>
      <w:r w:rsidRPr="00FD0B79">
        <w:rPr>
          <w:color w:val="000000"/>
        </w:rPr>
        <w:t>*моль</w:t>
      </w:r>
      <w:r w:rsidRPr="00FD0B79">
        <w:rPr>
          <w:color w:val="000000"/>
          <w:vertAlign w:val="superscript"/>
        </w:rPr>
        <w:t>-1</w:t>
      </w:r>
      <w:r w:rsidRPr="00FD0B79">
        <w:rPr>
          <w:color w:val="000000"/>
        </w:rPr>
        <w:t>*мин</w:t>
      </w:r>
      <w:r w:rsidRPr="00FD0B79">
        <w:rPr>
          <w:color w:val="000000"/>
          <w:vertAlign w:val="superscript"/>
        </w:rPr>
        <w:t>-1</w:t>
      </w:r>
      <w:r w:rsidRPr="00FD0B79">
        <w:rPr>
          <w:color w:val="000000"/>
        </w:rPr>
        <w:t xml:space="preserve"> [1]; эффективность rGO/VN [2] достигает 146.3 л</w:t>
      </w:r>
      <w:r w:rsidRPr="00FD0B79">
        <w:rPr>
          <w:color w:val="000000"/>
          <w:vertAlign w:val="superscript"/>
        </w:rPr>
        <w:t>2</w:t>
      </w:r>
      <w:r w:rsidRPr="00FD0B79">
        <w:rPr>
          <w:color w:val="000000"/>
        </w:rPr>
        <w:t>*моль</w:t>
      </w:r>
      <w:r w:rsidRPr="00FD0B79">
        <w:rPr>
          <w:color w:val="000000"/>
          <w:vertAlign w:val="superscript"/>
        </w:rPr>
        <w:t>-1</w:t>
      </w:r>
      <w:r w:rsidRPr="00FD0B79">
        <w:rPr>
          <w:color w:val="000000"/>
        </w:rPr>
        <w:t>*мин</w:t>
      </w:r>
      <w:r w:rsidRPr="00FD0B79">
        <w:rPr>
          <w:color w:val="000000"/>
          <w:vertAlign w:val="superscript"/>
        </w:rPr>
        <w:t>-1</w:t>
      </w:r>
      <w:r w:rsidRPr="00FD0B79">
        <w:rPr>
          <w:color w:val="000000"/>
        </w:rPr>
        <w:t>.</w:t>
      </w:r>
    </w:p>
    <w:p w14:paraId="356AA744" w14:textId="24EE3A13" w:rsidR="00FD0B79" w:rsidRPr="00FD0B79" w:rsidRDefault="00000000" w:rsidP="00FD0B7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i/>
          <w:iCs/>
          <w:lang w:val="ru-RU"/>
        </w:rPr>
      </w:pPr>
      <w:r>
        <w:rPr>
          <w:i/>
          <w:iCs/>
        </w:rPr>
        <w:t>Работа выполнена при финансовой поддержке РНФ, грант 22-13-00426-П.</w:t>
      </w:r>
    </w:p>
    <w:p w14:paraId="0000000C" w14:textId="77777777" w:rsidR="009A35B3" w:rsidRDefault="009A3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</w:pPr>
    </w:p>
    <w:p w14:paraId="0000000D" w14:textId="77777777" w:rsidR="009A35B3" w:rsidRPr="0066219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lang w:val="en-US"/>
        </w:rPr>
      </w:pPr>
      <w:r>
        <w:rPr>
          <w:b/>
          <w:bCs/>
          <w:color w:val="000000"/>
        </w:rPr>
        <w:t>Литература</w:t>
      </w:r>
    </w:p>
    <w:p w14:paraId="0000000E" w14:textId="77777777" w:rsidR="009A35B3" w:rsidRPr="0066219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lang w:val="en-US"/>
        </w:rPr>
      </w:pPr>
      <w:r w:rsidRPr="00662194">
        <w:rPr>
          <w:color w:val="000000"/>
          <w:lang w:val="en-US"/>
        </w:rPr>
        <w:t xml:space="preserve">1. Niu, L.; Cai, Y.; Dong, T. et. </w:t>
      </w:r>
      <w:r w:rsidRPr="00662194">
        <w:rPr>
          <w:lang w:val="en-US"/>
        </w:rPr>
        <w:t>al.</w:t>
      </w:r>
      <w:r w:rsidRPr="00662194">
        <w:rPr>
          <w:color w:val="000000"/>
          <w:lang w:val="en-US"/>
        </w:rPr>
        <w:t>; Vanadium Nitride@carbon Nanofiber Composite: Synthesis, Cascade Enzyme Mimics and Its Sensitive and Selective Colorimetric Sensing of Superoxide Anion. Biosensors and Bioelectronics 2022, 210, 114285.</w:t>
      </w:r>
    </w:p>
    <w:p w14:paraId="0F687E21" w14:textId="4F8409C9" w:rsidR="009A35B3" w:rsidRPr="00FD0B79" w:rsidRDefault="00000000" w:rsidP="00FD0B7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lang w:val="ru-RU"/>
        </w:rPr>
      </w:pPr>
      <w:r w:rsidRPr="00662194">
        <w:rPr>
          <w:color w:val="000000"/>
          <w:lang w:val="en-US"/>
        </w:rPr>
        <w:t>2.</w:t>
      </w:r>
      <w:r w:rsidRPr="00662194">
        <w:rPr>
          <w:lang w:val="en-US"/>
        </w:rPr>
        <w:t xml:space="preserve"> Zhang, X.; Yuan, Z.; Lin, Z. et. al.; Covalent Coupling-Regulated rGO/VN Nanocomposite Enabling Nitrogen Defects to Remarkably Boost the Peroxidase-Like Catalytic Efficiency for the Ultrasensitive Colorimetric Assay of Uric Acid. </w:t>
      </w:r>
      <w:r>
        <w:t>Anal. Chem. 2025, 97 (10), 5771–5780.</w:t>
      </w:r>
    </w:p>
    <w:sectPr w:rsidR="009A35B3" w:rsidRPr="00FD0B79">
      <w:pgSz w:w="11906" w:h="16838"/>
      <w:pgMar w:top="1134" w:right="1361" w:bottom="1127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D31344CD-275A-4CFA-9086-BE1B0C796FDC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8792AF77-4FAF-4748-9463-EB7AB8ED76B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01466891-C0BA-4B82-A36A-492E8EF504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5B3"/>
    <w:rsid w:val="00212CE0"/>
    <w:rsid w:val="003D1C9B"/>
    <w:rsid w:val="00662194"/>
    <w:rsid w:val="009A35B3"/>
    <w:rsid w:val="00B930BA"/>
    <w:rsid w:val="00D925F6"/>
    <w:rsid w:val="00FD0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C6BAE"/>
  <w15:docId w15:val="{759BF339-7A6D-48C1-AD29-60F51E3C4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418</Words>
  <Characters>2383</Characters>
  <Application>Microsoft Office Word</Application>
  <DocSecurity>0</DocSecurity>
  <Lines>19</Lines>
  <Paragraphs>5</Paragraphs>
  <ScaleCrop>false</ScaleCrop>
  <Company/>
  <LinksUpToDate>false</LinksUpToDate>
  <CharactersWithSpaces>2796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Ksenia Sushko</dc:creator>
  <cp:lastModifiedBy>Ksenia Sushko</cp:lastModifiedBy>
  <cp:revision>4</cp:revision>
  <dcterms:created xsi:type="dcterms:W3CDTF">2026-03-02T19:24:00Z</dcterms:created>
  <dcterms:modified xsi:type="dcterms:W3CDTF">2026-03-02T19:44:00Z</dcterms:modified>
</cp:coreProperties>
</file>