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6897D" w14:textId="77777777" w:rsidR="008C3F85" w:rsidRPr="00331F3E" w:rsidRDefault="008C3F85" w:rsidP="007E08E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331F3E">
        <w:rPr>
          <w:rFonts w:ascii="Times New Roman" w:hAnsi="Times New Roman" w:cs="Times New Roman"/>
          <w:b/>
        </w:rPr>
        <w:t>Расчет дозовых распределений моноэнергетических фотонов в водном фантоме для моделирования тормозного спектра в виртуальном тренажере лучевой терапии</w:t>
      </w:r>
    </w:p>
    <w:p w14:paraId="3844D807" w14:textId="430A0977" w:rsidR="007E08EF" w:rsidRPr="00331F3E" w:rsidRDefault="007E08EF" w:rsidP="007E08E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vertAlign w:val="superscript"/>
        </w:rPr>
      </w:pPr>
      <w:r w:rsidRPr="00331F3E">
        <w:rPr>
          <w:rFonts w:ascii="Times New Roman" w:hAnsi="Times New Roman" w:cs="Times New Roman"/>
        </w:rPr>
        <w:t>Е. А.Рябова</w:t>
      </w:r>
      <w:r w:rsidRPr="00331F3E">
        <w:rPr>
          <w:rFonts w:ascii="Times New Roman" w:hAnsi="Times New Roman" w:cs="Times New Roman"/>
          <w:vertAlign w:val="superscript"/>
        </w:rPr>
        <w:t>1</w:t>
      </w:r>
      <w:r w:rsidRPr="00331F3E">
        <w:rPr>
          <w:rFonts w:ascii="Times New Roman" w:hAnsi="Times New Roman" w:cs="Times New Roman"/>
        </w:rPr>
        <w:t>, А. А. Щербаков</w:t>
      </w:r>
      <w:r w:rsidRPr="00331F3E">
        <w:rPr>
          <w:rFonts w:ascii="Times New Roman" w:hAnsi="Times New Roman" w:cs="Times New Roman"/>
          <w:vertAlign w:val="superscript"/>
        </w:rPr>
        <w:t>1,2</w:t>
      </w:r>
    </w:p>
    <w:p w14:paraId="44204582" w14:textId="7319FD35" w:rsidR="007E08EF" w:rsidRPr="00331F3E" w:rsidRDefault="007E08EF" w:rsidP="007E08E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</w:rPr>
      </w:pPr>
      <w:r w:rsidRPr="00331F3E">
        <w:rPr>
          <w:rFonts w:ascii="Times New Roman" w:hAnsi="Times New Roman" w:cs="Times New Roman"/>
          <w:i/>
          <w:iCs/>
          <w:vertAlign w:val="superscript"/>
        </w:rPr>
        <w:t>1</w:t>
      </w:r>
      <w:r w:rsidRPr="00331F3E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 В. Ломоносова, </w:t>
      </w:r>
      <w:r w:rsidRPr="00331F3E">
        <w:rPr>
          <w:rFonts w:ascii="Times New Roman" w:hAnsi="Times New Roman" w:cs="Times New Roman"/>
          <w:i/>
          <w:iCs/>
        </w:rPr>
        <w:br/>
        <w:t>физический факультет, Москва, Россия,</w:t>
      </w:r>
      <w:r w:rsidRPr="00331F3E">
        <w:rPr>
          <w:rFonts w:ascii="Times New Roman" w:hAnsi="Times New Roman" w:cs="Times New Roman"/>
          <w:i/>
          <w:iCs/>
        </w:rPr>
        <w:br/>
        <w:t xml:space="preserve"> </w:t>
      </w:r>
      <w:r w:rsidRPr="00331F3E">
        <w:rPr>
          <w:rFonts w:ascii="Times New Roman" w:hAnsi="Times New Roman" w:cs="Times New Roman"/>
          <w:i/>
          <w:iCs/>
          <w:vertAlign w:val="superscript"/>
        </w:rPr>
        <w:t>2</w:t>
      </w:r>
      <w:r w:rsidRPr="00331F3E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 В. </w:t>
      </w:r>
      <w:proofErr w:type="gramStart"/>
      <w:r w:rsidRPr="00331F3E">
        <w:rPr>
          <w:rFonts w:ascii="Times New Roman" w:hAnsi="Times New Roman" w:cs="Times New Roman"/>
          <w:i/>
          <w:iCs/>
        </w:rPr>
        <w:t xml:space="preserve">Ломоносова  </w:t>
      </w:r>
      <w:r w:rsidRPr="00331F3E">
        <w:rPr>
          <w:rFonts w:ascii="Times New Roman" w:hAnsi="Times New Roman" w:cs="Times New Roman"/>
          <w:i/>
          <w:iCs/>
        </w:rPr>
        <w:br/>
        <w:t>Научно</w:t>
      </w:r>
      <w:proofErr w:type="gramEnd"/>
      <w:r w:rsidRPr="00331F3E">
        <w:rPr>
          <w:rFonts w:ascii="Times New Roman" w:hAnsi="Times New Roman" w:cs="Times New Roman"/>
          <w:i/>
          <w:iCs/>
        </w:rPr>
        <w:t xml:space="preserve">-исследовательский институт ядерной физики имени Д. В. Скобельцына, </w:t>
      </w:r>
      <w:r w:rsidRPr="00331F3E">
        <w:rPr>
          <w:rFonts w:ascii="Times New Roman" w:hAnsi="Times New Roman" w:cs="Times New Roman"/>
          <w:i/>
          <w:iCs/>
        </w:rPr>
        <w:br/>
      </w:r>
      <w:bookmarkStart w:id="0" w:name="_GoBack"/>
      <w:bookmarkEnd w:id="0"/>
      <w:r w:rsidRPr="00331F3E">
        <w:rPr>
          <w:rFonts w:ascii="Times New Roman" w:hAnsi="Times New Roman" w:cs="Times New Roman"/>
          <w:i/>
          <w:iCs/>
        </w:rPr>
        <w:t xml:space="preserve">Москва, Россия,                                                                                                                        </w:t>
      </w:r>
    </w:p>
    <w:p w14:paraId="25175236" w14:textId="77777777" w:rsidR="007E08EF" w:rsidRPr="00331F3E" w:rsidRDefault="007E08EF" w:rsidP="007E08E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lang w:val="en-US"/>
        </w:rPr>
      </w:pPr>
      <w:r w:rsidRPr="00331F3E">
        <w:rPr>
          <w:rFonts w:ascii="Times New Roman" w:hAnsi="Times New Roman" w:cs="Times New Roman"/>
          <w:lang w:val="en-US"/>
        </w:rPr>
        <w:t xml:space="preserve">E–mail: </w:t>
      </w:r>
      <w:hyperlink r:id="rId7" w:history="1">
        <w:r w:rsidRPr="00331F3E">
          <w:rPr>
            <w:rStyle w:val="a6"/>
            <w:rFonts w:ascii="Times New Roman" w:hAnsi="Times New Roman" w:cs="Times New Roman"/>
            <w:lang w:val="en-US"/>
          </w:rPr>
          <w:t>riabova.ea22@physics.msu.ru</w:t>
        </w:r>
      </w:hyperlink>
    </w:p>
    <w:p w14:paraId="7A78B916" w14:textId="3917D425" w:rsidR="008C3F85" w:rsidRPr="00331F3E" w:rsidRDefault="008C3F85" w:rsidP="008C3F85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r w:rsidRPr="00331F3E">
        <w:rPr>
          <w:rFonts w:ascii="Times New Roman" w:hAnsi="Times New Roman" w:cs="Times New Roman"/>
          <w:color w:val="222222"/>
          <w:spacing w:val="-2"/>
        </w:rPr>
        <w:t xml:space="preserve">Подготовка квалифицированных медицинских физиков требует практического освоения методов планирования облучения и работы с дозиметрическим оборудованием. Однако доступ к реальной клинической технике для учебных целей ограничен, что делает актуальной разработку виртуальных тренажеров линейных ускорителей. Основой физической достоверности такого симулятора выступает адекватное моделирование процессов взаимодействия ионизирующего излучения с </w:t>
      </w:r>
      <w:proofErr w:type="spellStart"/>
      <w:r w:rsidRPr="00331F3E">
        <w:rPr>
          <w:rFonts w:ascii="Times New Roman" w:hAnsi="Times New Roman" w:cs="Times New Roman"/>
          <w:color w:val="222222"/>
          <w:spacing w:val="-2"/>
        </w:rPr>
        <w:t>биотканеэквивалентной</w:t>
      </w:r>
      <w:proofErr w:type="spellEnd"/>
      <w:r w:rsidRPr="00331F3E">
        <w:rPr>
          <w:rFonts w:ascii="Times New Roman" w:hAnsi="Times New Roman" w:cs="Times New Roman"/>
          <w:color w:val="222222"/>
          <w:spacing w:val="-2"/>
        </w:rPr>
        <w:t xml:space="preserve"> средой [1], в частности, расчет пространственного распределения поглощенной дозы.</w:t>
      </w:r>
    </w:p>
    <w:p w14:paraId="3065FDDC" w14:textId="50738BA5" w:rsidR="00F01A96" w:rsidRPr="00331F3E" w:rsidRDefault="00F01A96" w:rsidP="00F01A96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r w:rsidRPr="00331F3E">
        <w:rPr>
          <w:rFonts w:ascii="Times New Roman" w:hAnsi="Times New Roman" w:cs="Times New Roman"/>
          <w:color w:val="222222"/>
          <w:spacing w:val="-2"/>
        </w:rPr>
        <w:t>Целью настоящей работы являлось создание базы данных глубинных дозовых распределений в водном фантоме</w:t>
      </w:r>
      <w:r w:rsidR="00CC3581" w:rsidRPr="00331F3E">
        <w:rPr>
          <w:rFonts w:ascii="Times New Roman" w:hAnsi="Times New Roman" w:cs="Times New Roman"/>
          <w:color w:val="222222"/>
          <w:spacing w:val="-2"/>
        </w:rPr>
        <w:t xml:space="preserve"> [2]</w:t>
      </w:r>
      <w:r w:rsidRPr="00331F3E">
        <w:rPr>
          <w:rFonts w:ascii="Times New Roman" w:hAnsi="Times New Roman" w:cs="Times New Roman"/>
          <w:color w:val="222222"/>
          <w:spacing w:val="-2"/>
        </w:rPr>
        <w:t>, необходимой для последующего моделирования тормозных фотонных спектров в виртуальном тренажере лучевой терапии.</w:t>
      </w:r>
    </w:p>
    <w:p w14:paraId="55B93EC3" w14:textId="17F47F1B" w:rsidR="00F01A96" w:rsidRPr="00331F3E" w:rsidRDefault="00F01A96" w:rsidP="00F01A96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r w:rsidRPr="00331F3E">
        <w:rPr>
          <w:rFonts w:ascii="Times New Roman" w:hAnsi="Times New Roman" w:cs="Times New Roman"/>
          <w:color w:val="222222"/>
          <w:spacing w:val="-2"/>
        </w:rPr>
        <w:t>Расчеты выполнены методом Монте-Карло с использованием инструментария Geant4</w:t>
      </w:r>
      <w:r w:rsidR="00CC3581" w:rsidRPr="00331F3E">
        <w:rPr>
          <w:rFonts w:ascii="Times New Roman" w:hAnsi="Times New Roman" w:cs="Times New Roman"/>
          <w:color w:val="222222"/>
          <w:spacing w:val="-2"/>
        </w:rPr>
        <w:t xml:space="preserve"> [3]</w:t>
      </w:r>
      <w:r w:rsidRPr="00331F3E">
        <w:rPr>
          <w:rFonts w:ascii="Times New Roman" w:hAnsi="Times New Roman" w:cs="Times New Roman"/>
          <w:color w:val="222222"/>
          <w:spacing w:val="-2"/>
        </w:rPr>
        <w:t>. Моделирование проводилось для моноэнергетических фотонных пучков с размером поля 10×10 см². Источник располагался на расстоянии 100 см от поверхности водного фантома размером 20×20×20 см³. Энергетический диапазон составил от 100 кэВ до 15 МэВ с переменным шагом. Регистрация дозы осуществлялась с шагом 2 мм по глубине фантома.</w:t>
      </w:r>
    </w:p>
    <w:p w14:paraId="1144B6B4" w14:textId="77777777" w:rsidR="00F01A96" w:rsidRPr="00331F3E" w:rsidRDefault="00F01A96" w:rsidP="00F01A96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r w:rsidRPr="00331F3E">
        <w:rPr>
          <w:rFonts w:ascii="Times New Roman" w:hAnsi="Times New Roman" w:cs="Times New Roman"/>
          <w:color w:val="222222"/>
          <w:spacing w:val="-2"/>
        </w:rPr>
        <w:t xml:space="preserve">В данной работе предлагается метод моделирования дозовых распределений от тормозного излучения путем суперпозиции предварительно рассчитанных распределений для моноэнергетических фотонных пучков. Такой подход позволяет воспроизводить </w:t>
      </w:r>
      <w:proofErr w:type="spellStart"/>
      <w:r w:rsidRPr="00331F3E">
        <w:rPr>
          <w:rFonts w:ascii="Times New Roman" w:hAnsi="Times New Roman" w:cs="Times New Roman"/>
          <w:color w:val="222222"/>
          <w:spacing w:val="-2"/>
        </w:rPr>
        <w:t>дозные</w:t>
      </w:r>
      <w:proofErr w:type="spellEnd"/>
      <w:r w:rsidRPr="00331F3E">
        <w:rPr>
          <w:rFonts w:ascii="Times New Roman" w:hAnsi="Times New Roman" w:cs="Times New Roman"/>
          <w:color w:val="222222"/>
          <w:spacing w:val="-2"/>
        </w:rPr>
        <w:t xml:space="preserve"> поля для произвольного спектра, не проводя каждый раз полномасштабный расчет методом Монте-Карло.</w:t>
      </w:r>
    </w:p>
    <w:p w14:paraId="1421D1D6" w14:textId="606BBB18" w:rsidR="00F01A96" w:rsidRPr="00331F3E" w:rsidRDefault="00F01A96" w:rsidP="00F01A96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r w:rsidRPr="00331F3E">
        <w:rPr>
          <w:rFonts w:ascii="Times New Roman" w:hAnsi="Times New Roman" w:cs="Times New Roman"/>
          <w:color w:val="222222"/>
          <w:spacing w:val="-2"/>
        </w:rPr>
        <w:t>Глубинное дозовое распределение 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PDD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Bremsstrahlung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222222"/>
                <w:spacing w:val="-2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pacing w:val="-2"/>
              </w:rPr>
              <m:t>x</m:t>
            </m:r>
          </m:e>
        </m:d>
        <m:r>
          <w:rPr>
            <w:rFonts w:ascii="Cambria Math" w:hAnsi="Cambria Math" w:cs="Times New Roman"/>
            <w:color w:val="222222"/>
            <w:spacing w:val="-2"/>
          </w:rPr>
          <m:t xml:space="preserve"> </m:t>
        </m:r>
      </m:oMath>
      <w:r w:rsidRPr="00331F3E">
        <w:rPr>
          <w:rFonts w:ascii="Times New Roman" w:hAnsi="Times New Roman" w:cs="Times New Roman"/>
          <w:color w:val="222222"/>
          <w:spacing w:val="-2"/>
        </w:rPr>
        <w:t>для тормозного спектра вычисля</w:t>
      </w:r>
      <w:r w:rsidR="00CC3581" w:rsidRPr="00331F3E">
        <w:rPr>
          <w:rFonts w:ascii="Times New Roman" w:hAnsi="Times New Roman" w:cs="Times New Roman"/>
          <w:color w:val="222222"/>
          <w:spacing w:val="-2"/>
        </w:rPr>
        <w:t>лось</w:t>
      </w:r>
      <w:r w:rsidRPr="00331F3E">
        <w:rPr>
          <w:rFonts w:ascii="Times New Roman" w:hAnsi="Times New Roman" w:cs="Times New Roman"/>
          <w:color w:val="222222"/>
          <w:spacing w:val="-2"/>
        </w:rPr>
        <w:t xml:space="preserve"> как взвешенная сумма моноэнергетических вкладов:</w:t>
      </w:r>
    </w:p>
    <w:p w14:paraId="707BCC4A" w14:textId="004370C5" w:rsidR="00F01A96" w:rsidRPr="00331F3E" w:rsidRDefault="000B144A" w:rsidP="00F01A96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222222"/>
                  <w:spacing w:val="-2"/>
                </w:rPr>
              </m:ctrlPr>
            </m:sSubPr>
            <m:e>
              <m:r>
                <w:rPr>
                  <w:rFonts w:ascii="Cambria Math" w:hAnsi="Cambria Math" w:cs="Times New Roman"/>
                  <w:color w:val="222222"/>
                  <w:spacing w:val="-2"/>
                  <w:lang w:val="en-US"/>
                </w:rPr>
                <m:t>PDD</m:t>
              </m:r>
            </m:e>
            <m:sub>
              <m:r>
                <w:rPr>
                  <w:rFonts w:ascii="Cambria Math" w:hAnsi="Cambria Math" w:cs="Times New Roman"/>
                  <w:color w:val="222222"/>
                  <w:spacing w:val="-2"/>
                </w:rPr>
                <m:t>Bremsstra</m:t>
              </m:r>
              <m:r>
                <w:rPr>
                  <w:rFonts w:ascii="Cambria Math" w:hAnsi="Cambria Math" w:cs="Times New Roman"/>
                  <w:color w:val="222222"/>
                  <w:spacing w:val="-2"/>
                </w:rPr>
                <m:t>h</m:t>
              </m:r>
              <m:r>
                <w:rPr>
                  <w:rFonts w:ascii="Cambria Math" w:hAnsi="Cambria Math" w:cs="Times New Roman"/>
                  <w:color w:val="222222"/>
                  <w:spacing w:val="-2"/>
                </w:rPr>
                <m:t>lung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222222"/>
                  <w:spacing w:val="-2"/>
                </w:rPr>
              </m:ctrlPr>
            </m:dPr>
            <m:e>
              <m:r>
                <w:rPr>
                  <w:rFonts w:ascii="Cambria Math" w:hAnsi="Cambria Math" w:cs="Times New Roman"/>
                  <w:color w:val="222222"/>
                  <w:spacing w:val="-2"/>
                </w:rPr>
                <m:t>x</m:t>
              </m:r>
            </m:e>
          </m:d>
          <m:r>
            <w:rPr>
              <w:rFonts w:ascii="Cambria Math" w:hAnsi="Cambria Math" w:cs="Times New Roman"/>
              <w:color w:val="222222"/>
              <w:spacing w:val="-2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222222"/>
                  <w:spacing w:val="-2"/>
                </w:rPr>
              </m:ctrlPr>
            </m:naryPr>
            <m:sub>
              <m:r>
                <w:rPr>
                  <w:rFonts w:ascii="Cambria Math" w:hAnsi="Cambria Math" w:cs="Times New Roman"/>
                  <w:color w:val="222222"/>
                  <w:spacing w:val="-2"/>
                </w:rPr>
                <m:t>i</m:t>
              </m:r>
              <m:r>
                <w:rPr>
                  <w:rFonts w:ascii="Cambria Math" w:hAnsi="Cambria Math" w:cs="Times New Roman"/>
                  <w:color w:val="222222"/>
                  <w:spacing w:val="-2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color w:val="222222"/>
                  <w:spacing w:val="-2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color w:val="222222"/>
                  <w:spacing w:val="-2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222222"/>
                      <w:spacing w:val="-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222222"/>
                          <w:spacing w:val="-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222222"/>
                          <w:spacing w:val="-2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222222"/>
                          <w:spacing w:val="-2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color w:val="222222"/>
                      <w:spacing w:val="-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222222"/>
                      <w:spacing w:val="-2"/>
                    </w:rPr>
                    <m:t>*</m:t>
                  </m:r>
                  <m:r>
                    <w:rPr>
                      <w:rFonts w:ascii="Cambria Math" w:hAnsi="Cambria Math" w:cs="Times New Roman"/>
                      <w:color w:val="222222"/>
                      <w:spacing w:val="-2"/>
                    </w:rPr>
                    <m:t>PDD</m:t>
                  </m:r>
                </m:e>
                <m:sub>
                  <m:r>
                    <w:rPr>
                      <w:rFonts w:ascii="Cambria Math" w:hAnsi="Cambria Math" w:cs="Times New Roman"/>
                      <w:color w:val="222222"/>
                      <w:spacing w:val="-2"/>
                    </w:rPr>
                    <m:t>mono</m:t>
                  </m:r>
                </m:sub>
              </m:sSub>
              <m:r>
                <w:rPr>
                  <w:rFonts w:ascii="Cambria Math" w:hAnsi="Cambria Math" w:cs="Times New Roman"/>
                  <w:color w:val="222222"/>
                  <w:spacing w:val="-2"/>
                </w:rPr>
                <m:t>(</m:t>
              </m:r>
              <m:r>
                <w:rPr>
                  <w:rFonts w:ascii="Cambria Math" w:hAnsi="Cambria Math" w:cs="Times New Roman"/>
                  <w:color w:val="222222"/>
                  <w:spacing w:val="-2"/>
                </w:rPr>
                <m:t>x</m:t>
              </m:r>
              <m:r>
                <w:rPr>
                  <w:rFonts w:ascii="Cambria Math" w:hAnsi="Cambria Math" w:cs="Times New Roman"/>
                  <w:color w:val="222222"/>
                  <w:spacing w:val="-2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222222"/>
                      <w:spacing w:val="-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222222"/>
                      <w:spacing w:val="-2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222222"/>
                      <w:spacing w:val="-2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222222"/>
                  <w:spacing w:val="-2"/>
                </w:rPr>
                <m:t>)</m:t>
              </m:r>
            </m:e>
          </m:nary>
        </m:oMath>
      </m:oMathPara>
    </w:p>
    <w:p w14:paraId="7E1D6383" w14:textId="28262752" w:rsidR="00F01A96" w:rsidRPr="00331F3E" w:rsidRDefault="00F01A96" w:rsidP="00F01A96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proofErr w:type="gramStart"/>
      <w:r w:rsidRPr="00331F3E">
        <w:rPr>
          <w:rFonts w:ascii="Times New Roman" w:hAnsi="Times New Roman" w:cs="Times New Roman"/>
          <w:color w:val="222222"/>
          <w:spacing w:val="-2"/>
        </w:rPr>
        <w:t>где 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</w:rPr>
              <m:t>PDD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mono</m:t>
            </m:r>
          </m:sub>
        </m:sSub>
        <m:r>
          <w:rPr>
            <w:rFonts w:ascii="Cambria Math" w:hAnsi="Cambria Math" w:cs="Times New Roman"/>
            <w:color w:val="222222"/>
            <w:spacing w:val="-2"/>
          </w:rPr>
          <m:t>(x,</m:t>
        </m:r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</w:rPr>
              <m:t>E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i</m:t>
            </m:r>
          </m:sub>
        </m:sSub>
        <m:r>
          <w:rPr>
            <w:rFonts w:ascii="Cambria Math" w:hAnsi="Cambria Math" w:cs="Times New Roman"/>
            <w:color w:val="222222"/>
            <w:spacing w:val="-2"/>
          </w:rPr>
          <m:t>)</m:t>
        </m:r>
      </m:oMath>
      <w:r w:rsidRPr="00331F3E">
        <w:rPr>
          <w:rFonts w:ascii="Times New Roman" w:hAnsi="Times New Roman" w:cs="Times New Roman"/>
          <w:color w:val="222222"/>
          <w:spacing w:val="-2"/>
        </w:rPr>
        <w:t> —</w:t>
      </w:r>
      <w:proofErr w:type="gramEnd"/>
      <w:r w:rsidRPr="00331F3E">
        <w:rPr>
          <w:rFonts w:ascii="Times New Roman" w:hAnsi="Times New Roman" w:cs="Times New Roman"/>
          <w:color w:val="222222"/>
          <w:spacing w:val="-2"/>
        </w:rPr>
        <w:t xml:space="preserve"> предварительно рассчитанное распределение для моноэнергетического пучка с энергией ​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</w:rPr>
              <m:t>E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i</m:t>
            </m:r>
          </m:sub>
        </m:sSub>
      </m:oMath>
      <w:r w:rsidRPr="00331F3E">
        <w:rPr>
          <w:rFonts w:ascii="Times New Roman" w:hAnsi="Times New Roman" w:cs="Times New Roman"/>
          <w:color w:val="222222"/>
          <w:spacing w:val="-2"/>
        </w:rPr>
        <w:t>, а </w:t>
      </w:r>
      <w:r w:rsidRPr="00331F3E">
        <w:rPr>
          <w:rFonts w:ascii="Times New Roman" w:hAnsi="Times New Roman" w:cs="Times New Roman"/>
          <w:color w:val="222222"/>
          <w:spacing w:val="-2"/>
          <w:lang w:val="en-US"/>
        </w:rPr>
        <w:t>w</w:t>
      </w:r>
      <w:r w:rsidRPr="00331F3E">
        <w:rPr>
          <w:rFonts w:ascii="Times New Roman" w:hAnsi="Times New Roman" w:cs="Times New Roman"/>
          <w:color w:val="222222"/>
          <w:spacing w:val="-2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</w:rPr>
              <m:t>E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i</m:t>
            </m:r>
          </m:sub>
        </m:sSub>
      </m:oMath>
      <w:r w:rsidRPr="00331F3E">
        <w:rPr>
          <w:rFonts w:ascii="Times New Roman" w:hAnsi="Times New Roman" w:cs="Times New Roman"/>
          <w:color w:val="222222"/>
          <w:spacing w:val="-2"/>
        </w:rPr>
        <w:t xml:space="preserve">)— весовой коэффициент, пропорциональный </w:t>
      </w:r>
      <w:proofErr w:type="spellStart"/>
      <w:r w:rsidRPr="00331F3E">
        <w:rPr>
          <w:rFonts w:ascii="Times New Roman" w:hAnsi="Times New Roman" w:cs="Times New Roman"/>
          <w:color w:val="222222"/>
          <w:spacing w:val="-2"/>
        </w:rPr>
        <w:t>флюенсу</w:t>
      </w:r>
      <w:proofErr w:type="spellEnd"/>
      <w:r w:rsidRPr="00331F3E">
        <w:rPr>
          <w:rFonts w:ascii="Times New Roman" w:hAnsi="Times New Roman" w:cs="Times New Roman"/>
          <w:color w:val="222222"/>
          <w:spacing w:val="-2"/>
        </w:rPr>
        <w:t xml:space="preserve"> фотонов с данной энергией в тормозном спектре. </w:t>
      </w:r>
    </w:p>
    <w:p w14:paraId="21ACAC8A" w14:textId="529C9497" w:rsidR="007E08EF" w:rsidRPr="00331F3E" w:rsidRDefault="008C3F85" w:rsidP="008C3F85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  <w:r w:rsidRPr="00331F3E">
        <w:rPr>
          <w:rFonts w:ascii="Times New Roman" w:hAnsi="Times New Roman" w:cs="Times New Roman"/>
          <w:color w:val="222222"/>
          <w:spacing w:val="-2"/>
        </w:rPr>
        <w:t xml:space="preserve">В результате сформирована база данных дозовых распределений, охватывающая широкий диапазон энергий. Полученные моноэнергетические зависимости служат основой для синтеза дозовых полей от клинически значимых </w:t>
      </w:r>
      <w:r w:rsidR="00265A42" w:rsidRPr="00331F3E">
        <w:rPr>
          <w:rFonts w:ascii="Times New Roman" w:hAnsi="Times New Roman" w:cs="Times New Roman"/>
          <w:color w:val="222222"/>
          <w:spacing w:val="-2"/>
        </w:rPr>
        <w:t>тормозных</w:t>
      </w:r>
      <w:r w:rsidRPr="00331F3E">
        <w:rPr>
          <w:rFonts w:ascii="Times New Roman" w:hAnsi="Times New Roman" w:cs="Times New Roman"/>
          <w:color w:val="222222"/>
          <w:spacing w:val="-2"/>
        </w:rPr>
        <w:t xml:space="preserve"> спектров методом суперпозиции. Разработанный подход в дальнейшем может быть применен для построения объемных распределений и интеграции с DICOM-изображениями, что позволит моделировать облучение в реалистичных анатомических условиях.</w:t>
      </w:r>
    </w:p>
    <w:p w14:paraId="7C25AB8F" w14:textId="77777777" w:rsidR="008C3F85" w:rsidRPr="00331F3E" w:rsidRDefault="008C3F85" w:rsidP="008C3F85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222222"/>
          <w:spacing w:val="-2"/>
        </w:rPr>
      </w:pPr>
    </w:p>
    <w:p w14:paraId="7863E6F9" w14:textId="77777777" w:rsidR="007E08EF" w:rsidRPr="00331F3E" w:rsidRDefault="007E08EF" w:rsidP="007E0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1F3E">
        <w:rPr>
          <w:rFonts w:ascii="Times New Roman" w:hAnsi="Times New Roman" w:cs="Times New Roman"/>
        </w:rPr>
        <w:t xml:space="preserve">Климанов, В. А. Радиационная </w:t>
      </w:r>
      <w:proofErr w:type="gramStart"/>
      <w:r w:rsidRPr="00331F3E">
        <w:rPr>
          <w:rFonts w:ascii="Times New Roman" w:hAnsi="Times New Roman" w:cs="Times New Roman"/>
        </w:rPr>
        <w:t>дозиметрия :</w:t>
      </w:r>
      <w:proofErr w:type="gramEnd"/>
      <w:r w:rsidRPr="00331F3E">
        <w:rPr>
          <w:rFonts w:ascii="Times New Roman" w:hAnsi="Times New Roman" w:cs="Times New Roman"/>
        </w:rPr>
        <w:t xml:space="preserve"> монография / В. А. Климанов, Е. А. Крамер-Агеев, В. В. Смирнов ; под ред. В. А. Климанова. — </w:t>
      </w:r>
      <w:proofErr w:type="gramStart"/>
      <w:r w:rsidRPr="00331F3E">
        <w:rPr>
          <w:rFonts w:ascii="Times New Roman" w:hAnsi="Times New Roman" w:cs="Times New Roman"/>
        </w:rPr>
        <w:t>Москва :</w:t>
      </w:r>
      <w:proofErr w:type="gramEnd"/>
      <w:r w:rsidRPr="00331F3E">
        <w:rPr>
          <w:rFonts w:ascii="Times New Roman" w:hAnsi="Times New Roman" w:cs="Times New Roman"/>
        </w:rPr>
        <w:t xml:space="preserve"> НИЯУ МИФИ, 2014. — 648 с. — ISBN 978-5-7262-2038-3.</w:t>
      </w:r>
    </w:p>
    <w:p w14:paraId="2BA0CB2E" w14:textId="77777777" w:rsidR="007E08EF" w:rsidRPr="00331F3E" w:rsidRDefault="007E08EF" w:rsidP="007E0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1F3E">
        <w:rPr>
          <w:rFonts w:ascii="Times New Roman" w:hAnsi="Times New Roman" w:cs="Times New Roman"/>
        </w:rPr>
        <w:t xml:space="preserve">Иванов, В. И. Курс </w:t>
      </w:r>
      <w:proofErr w:type="gramStart"/>
      <w:r w:rsidRPr="00331F3E">
        <w:rPr>
          <w:rFonts w:ascii="Times New Roman" w:hAnsi="Times New Roman" w:cs="Times New Roman"/>
        </w:rPr>
        <w:t>дозиметрии :</w:t>
      </w:r>
      <w:proofErr w:type="gramEnd"/>
      <w:r w:rsidRPr="00331F3E">
        <w:rPr>
          <w:rFonts w:ascii="Times New Roman" w:hAnsi="Times New Roman" w:cs="Times New Roman"/>
        </w:rPr>
        <w:t xml:space="preserve"> учебник для вузов / В. И. Иванов. — 3-е изд., </w:t>
      </w:r>
      <w:proofErr w:type="spellStart"/>
      <w:r w:rsidRPr="00331F3E">
        <w:rPr>
          <w:rFonts w:ascii="Times New Roman" w:hAnsi="Times New Roman" w:cs="Times New Roman"/>
        </w:rPr>
        <w:t>перераб</w:t>
      </w:r>
      <w:proofErr w:type="spellEnd"/>
      <w:r w:rsidRPr="00331F3E">
        <w:rPr>
          <w:rFonts w:ascii="Times New Roman" w:hAnsi="Times New Roman" w:cs="Times New Roman"/>
        </w:rPr>
        <w:t xml:space="preserve">. и доп. — </w:t>
      </w:r>
      <w:proofErr w:type="gramStart"/>
      <w:r w:rsidRPr="00331F3E">
        <w:rPr>
          <w:rFonts w:ascii="Times New Roman" w:hAnsi="Times New Roman" w:cs="Times New Roman"/>
        </w:rPr>
        <w:t>Москва :</w:t>
      </w:r>
      <w:proofErr w:type="gramEnd"/>
      <w:r w:rsidRPr="00331F3E">
        <w:rPr>
          <w:rFonts w:ascii="Times New Roman" w:hAnsi="Times New Roman" w:cs="Times New Roman"/>
        </w:rPr>
        <w:t xml:space="preserve"> </w:t>
      </w:r>
      <w:proofErr w:type="spellStart"/>
      <w:r w:rsidRPr="00331F3E">
        <w:rPr>
          <w:rFonts w:ascii="Times New Roman" w:hAnsi="Times New Roman" w:cs="Times New Roman"/>
        </w:rPr>
        <w:t>Атомиздат</w:t>
      </w:r>
      <w:proofErr w:type="spellEnd"/>
      <w:r w:rsidRPr="00331F3E">
        <w:rPr>
          <w:rFonts w:ascii="Times New Roman" w:hAnsi="Times New Roman" w:cs="Times New Roman"/>
        </w:rPr>
        <w:t>, 1978. — 392 с.</w:t>
      </w:r>
    </w:p>
    <w:p w14:paraId="529F6CC4" w14:textId="77777777" w:rsidR="007E08EF" w:rsidRPr="00331F3E" w:rsidRDefault="007E08EF" w:rsidP="007E0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31F3E">
        <w:rPr>
          <w:rFonts w:ascii="Times New Roman" w:hAnsi="Times New Roman" w:cs="Times New Roman"/>
          <w:lang w:val="en-US"/>
        </w:rPr>
        <w:lastRenderedPageBreak/>
        <w:t xml:space="preserve">GEANT4: a simulation toolkit. Book for application developers. Release 11.3 / Geant4 Collaboration. — 2025. — June 14. — </w:t>
      </w:r>
      <w:r w:rsidRPr="00331F3E">
        <w:rPr>
          <w:rFonts w:ascii="Times New Roman" w:hAnsi="Times New Roman" w:cs="Times New Roman"/>
        </w:rPr>
        <w:t>Режим</w:t>
      </w:r>
      <w:r w:rsidRPr="00331F3E">
        <w:rPr>
          <w:rFonts w:ascii="Times New Roman" w:hAnsi="Times New Roman" w:cs="Times New Roman"/>
          <w:lang w:val="en-US"/>
        </w:rPr>
        <w:t xml:space="preserve"> </w:t>
      </w:r>
      <w:r w:rsidRPr="00331F3E">
        <w:rPr>
          <w:rFonts w:ascii="Times New Roman" w:hAnsi="Times New Roman" w:cs="Times New Roman"/>
        </w:rPr>
        <w:t>доступа</w:t>
      </w:r>
      <w:r w:rsidRPr="00331F3E">
        <w:rPr>
          <w:rFonts w:ascii="Times New Roman" w:hAnsi="Times New Roman" w:cs="Times New Roman"/>
          <w:lang w:val="en-US"/>
        </w:rPr>
        <w:t>: http://geant4.org/ (</w:t>
      </w:r>
      <w:r w:rsidRPr="00331F3E">
        <w:rPr>
          <w:rFonts w:ascii="Times New Roman" w:hAnsi="Times New Roman" w:cs="Times New Roman"/>
        </w:rPr>
        <w:t>дата</w:t>
      </w:r>
      <w:r w:rsidRPr="00331F3E">
        <w:rPr>
          <w:rFonts w:ascii="Times New Roman" w:hAnsi="Times New Roman" w:cs="Times New Roman"/>
          <w:lang w:val="en-US"/>
        </w:rPr>
        <w:t xml:space="preserve"> </w:t>
      </w:r>
      <w:r w:rsidRPr="00331F3E">
        <w:rPr>
          <w:rFonts w:ascii="Times New Roman" w:hAnsi="Times New Roman" w:cs="Times New Roman"/>
        </w:rPr>
        <w:t>обращения</w:t>
      </w:r>
      <w:r w:rsidRPr="00331F3E">
        <w:rPr>
          <w:rFonts w:ascii="Times New Roman" w:hAnsi="Times New Roman" w:cs="Times New Roman"/>
          <w:lang w:val="en-US"/>
        </w:rPr>
        <w:t>: 01.07.2024).</w:t>
      </w:r>
    </w:p>
    <w:p w14:paraId="226D4272" w14:textId="77777777" w:rsidR="007E08EF" w:rsidRPr="00331F3E" w:rsidRDefault="007E08EF">
      <w:pPr>
        <w:rPr>
          <w:rFonts w:ascii="Times New Roman" w:hAnsi="Times New Roman" w:cs="Times New Roman"/>
          <w:lang w:val="en-US"/>
        </w:rPr>
      </w:pPr>
    </w:p>
    <w:sectPr w:rsidR="007E08EF" w:rsidRPr="00331F3E" w:rsidSect="00A11A54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CF4F5" w14:textId="77777777" w:rsidR="000B144A" w:rsidRDefault="000B144A">
      <w:r>
        <w:separator/>
      </w:r>
    </w:p>
  </w:endnote>
  <w:endnote w:type="continuationSeparator" w:id="0">
    <w:p w14:paraId="119BF2DE" w14:textId="77777777" w:rsidR="000B144A" w:rsidRDefault="000B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78DD" w14:textId="77777777" w:rsidR="00DE0726" w:rsidRPr="00DE0726" w:rsidRDefault="000B144A">
    <w:pPr>
      <w:pStyle w:val="a4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0C310" w14:textId="77777777" w:rsidR="000B144A" w:rsidRDefault="000B144A">
      <w:r>
        <w:separator/>
      </w:r>
    </w:p>
  </w:footnote>
  <w:footnote w:type="continuationSeparator" w:id="0">
    <w:p w14:paraId="6B9A3382" w14:textId="77777777" w:rsidR="000B144A" w:rsidRDefault="000B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EF"/>
    <w:rsid w:val="000B144A"/>
    <w:rsid w:val="00234D68"/>
    <w:rsid w:val="00265A42"/>
    <w:rsid w:val="00331F3E"/>
    <w:rsid w:val="007E08EF"/>
    <w:rsid w:val="008A4529"/>
    <w:rsid w:val="008C3F85"/>
    <w:rsid w:val="00CC3581"/>
    <w:rsid w:val="00CE4889"/>
    <w:rsid w:val="00F0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5A9F"/>
  <w15:chartTrackingRefBased/>
  <w15:docId w15:val="{327FB7D2-B430-469A-B3B4-AEAE1FE3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EF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8E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E08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E08EF"/>
    <w:rPr>
      <w:rFonts w:eastAsiaTheme="minorEastAsia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7E08EF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F01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abova.ea22@physics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Рябова</dc:creator>
  <cp:keywords/>
  <dc:description/>
  <cp:lastModifiedBy>Anna Rubekina</cp:lastModifiedBy>
  <cp:revision>7</cp:revision>
  <dcterms:created xsi:type="dcterms:W3CDTF">2026-03-01T16:22:00Z</dcterms:created>
  <dcterms:modified xsi:type="dcterms:W3CDTF">2026-03-18T11:00:00Z</dcterms:modified>
</cp:coreProperties>
</file>