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napToGrid w:val="false"/>
        <w:spacing w:before="0" w:after="280"/>
        <w:ind w:firstLine="397" w:start="-284"/>
        <w:jc w:val="center"/>
        <w:rPr/>
      </w:pPr>
      <w:r>
        <w:rPr>
          <w:b/>
          <w:bCs/>
        </w:rPr>
        <w:t>Численное моделирование процесса распространения лазерного пучка в слое крови</w:t>
      </w:r>
    </w:p>
    <w:p>
      <w:pPr>
        <w:pStyle w:val="NormalWeb"/>
        <w:spacing w:before="280" w:after="280"/>
        <w:ind w:firstLine="397" w:start="-284"/>
        <w:jc w:val="center"/>
        <w:rPr/>
      </w:pPr>
      <w:r>
        <w:rPr>
          <w:b/>
          <w:bCs/>
          <w:i/>
          <w:iCs/>
        </w:rPr>
        <w:t>Гончаров С.О., Луговцов А.Е., Приезжев А.В.</w:t>
      </w:r>
    </w:p>
    <w:p>
      <w:pPr>
        <w:pStyle w:val="BodyText"/>
        <w:shd w:val="clear" w:color="auto" w:fill="FFFFFF"/>
        <w:spacing w:lineRule="auto" w:line="240" w:before="0" w:after="0"/>
        <w:ind w:firstLine="397" w:start="-284"/>
        <w:jc w:val="center"/>
        <w:rPr/>
      </w:pPr>
      <w:r>
        <w:rPr>
          <w:rStyle w:val="Emphasis"/>
          <w:rFonts w:eastAsia="Times New Roman" w:cs="Times New Roman" w:ascii="Times New Roman" w:hAnsi="Times New Roman"/>
        </w:rPr>
        <w:t>Московский государственный университет имени М.В. Ломоносова,</w:t>
      </w:r>
    </w:p>
    <w:p>
      <w:pPr>
        <w:pStyle w:val="BodyText"/>
        <w:spacing w:before="0" w:after="150"/>
        <w:jc w:val="center"/>
        <w:rPr/>
      </w:pPr>
      <w:r>
        <w:rPr>
          <w:rStyle w:val="Emphasis"/>
          <w:rFonts w:eastAsia="Times New Roman" w:cs="Times New Roman" w:ascii="Times New Roman" w:hAnsi="Times New Roman"/>
        </w:rPr>
        <w:t>физический факультет, Москва, Россия</w:t>
      </w:r>
    </w:p>
    <w:p>
      <w:pPr>
        <w:pStyle w:val="Normal"/>
        <w:shd w:val="clear" w:color="auto" w:fill="FFFFFF"/>
        <w:ind w:firstLine="397" w:start="-284"/>
        <w:jc w:val="center"/>
        <w:rPr/>
      </w:pPr>
      <w:r>
        <w:rPr>
          <w:rFonts w:eastAsia="Times New Roman" w:cs="Times New Roman" w:ascii="Times New Roman" w:hAnsi="Times New Roman"/>
          <w:i/>
          <w:iCs/>
          <w:lang w:val="en-US"/>
        </w:rPr>
        <w:t>E</w:t>
      </w:r>
      <w:r>
        <w:rPr>
          <w:rFonts w:eastAsia="Times New Roman" w:cs="Times New Roman" w:ascii="Times New Roman" w:hAnsi="Times New Roman"/>
          <w:i/>
          <w:iCs/>
        </w:rPr>
        <w:t>-</w:t>
      </w:r>
      <w:r>
        <w:rPr>
          <w:rFonts w:eastAsia="Times New Roman" w:cs="Times New Roman" w:ascii="Times New Roman" w:hAnsi="Times New Roman"/>
          <w:i/>
          <w:iCs/>
          <w:lang w:val="en-US"/>
        </w:rPr>
        <w:t>mail</w:t>
      </w:r>
      <w:r>
        <w:rPr>
          <w:rFonts w:eastAsia="Times New Roman" w:cs="Times New Roman" w:ascii="Times New Roman" w:hAnsi="Times New Roman"/>
          <w:i/>
          <w:iCs/>
        </w:rPr>
        <w:t xml:space="preserve">: </w:t>
      </w:r>
      <w:r>
        <w:rPr>
          <w:rFonts w:eastAsia="Times New Roman" w:cs="Times New Roman" w:ascii="Times New Roman" w:hAnsi="Times New Roman"/>
          <w:i/>
          <w:iCs/>
          <w:lang w:val="en-US"/>
        </w:rPr>
        <w:t>stslonev@gmail.com</w:t>
      </w:r>
    </w:p>
    <w:p>
      <w:pPr>
        <w:pStyle w:val="Normal"/>
        <w:shd w:val="clear" w:color="auto" w:fill="FFFFFF"/>
        <w:ind w:firstLine="397" w:start="-284"/>
        <w:jc w:val="both"/>
        <w:rPr>
          <w:rFonts w:ascii="Times New Roman" w:hAnsi="Times New Roman" w:eastAsia="Times New Roman" w:cs="Times New Roman"/>
        </w:rPr>
      </w:pPr>
      <w:r>
        <w:rPr>
          <w:rFonts w:eastAsia="Times New Roman" w:cs="Times New Roman" w:ascii="Times New Roman" w:hAnsi="Times New Roman"/>
        </w:rPr>
      </w:r>
    </w:p>
    <w:p>
      <w:pPr>
        <w:pStyle w:val="Normal"/>
        <w:shd w:val="clear" w:color="auto" w:fill="FFFFFF"/>
        <w:ind w:firstLine="397" w:start="-284"/>
        <w:jc w:val="both"/>
        <w:rPr>
          <w:rFonts w:ascii="Times New Roman" w:hAnsi="Times New Roman" w:eastAsia="Times New Roman" w:cs="Times New Roman"/>
          <w:b/>
          <w:bCs/>
        </w:rPr>
      </w:pPr>
      <w:r>
        <w:rPr>
          <w:rFonts w:eastAsia="Times New Roman" w:cs="Times New Roman" w:ascii="Times New Roman" w:hAnsi="Times New Roman"/>
          <w:b/>
          <w:bCs/>
        </w:rPr>
        <w:t xml:space="preserve">Введение    </w:t>
      </w:r>
    </w:p>
    <w:p>
      <w:pPr>
        <w:pStyle w:val="Normal"/>
        <w:shd w:val="clear" w:color="auto" w:fill="FFFFFF"/>
        <w:ind w:firstLine="397" w:start="-284"/>
        <w:jc w:val="both"/>
        <w:rPr>
          <w:rFonts w:ascii="Times New Roman" w:hAnsi="Times New Roman" w:eastAsia="Times New Roman" w:cs="Times New Roman"/>
        </w:rPr>
      </w:pPr>
      <w:r>
        <w:rPr>
          <w:rFonts w:eastAsia="Times New Roman" w:cs="Times New Roman" w:ascii="Times New Roman" w:hAnsi="Times New Roman"/>
        </w:rPr>
        <w:t>Для разработки новых лазерных методов биомедицинской диагностики и терапии необходимо глубокое понимание процесса распространения излучения в биологических средах – тканях организма, в частности, в крови и коже. Добиться такого понимания позволяют, в основном, эксперимент и численное моделирование. В настоящее время популярным направлением в медицине является низкоинтенсивная лазерная терапия, результатом которой является стимуляция организма с повышением локального иммунитета и улучшение кровоснабжения. Очевидно, что эффективность такого воздействия на кровь зависит от многих факторов: объем крови, такие параметры облучающего изучения как длина волны и его мощность, режим излучения и длительность. Также влияют оптические свойства крови, характеризуемые коэффициентами поглощения, рассеяния и геометрией образца. Для выбора оптимальных параметров воздействия необходимо проведение численного моделирования распространения света в слое крови. Данный метод позволяет задавать различные параметры рассеивающей системы: фактор анизотропии, фазовые функции рассеяния отдельных частиц и и</w:t>
      </w:r>
      <w:r>
        <w:rPr>
          <w:rFonts w:eastAsia="Times New Roman" w:cs="Times New Roman" w:ascii="Times New Roman" w:hAnsi="Times New Roman"/>
          <w:shd w:fill="auto" w:val="clear"/>
        </w:rPr>
        <w:t xml:space="preserve">х концентрацию. В данной работе методом статистического моделирования методом Монте-Карло [1-2] моделируется распространения света в среде, представляющей собой плоский слой крови. Результаты моделирования будут применяться для количественной оценки поглощенного излучения, которое лежит в основе терапевтического эффекта. </w:t>
      </w:r>
    </w:p>
    <w:p>
      <w:pPr>
        <w:pStyle w:val="Normal"/>
        <w:shd w:val="clear" w:color="auto" w:fill="FFFFFF"/>
        <w:ind w:firstLine="397" w:start="-284"/>
        <w:jc w:val="both"/>
        <w:rPr>
          <w:rFonts w:ascii="Times New Roman" w:hAnsi="Times New Roman" w:eastAsia="Times New Roman" w:cs="Times New Roman"/>
        </w:rPr>
      </w:pPr>
      <w:r>
        <w:rPr>
          <w:rFonts w:eastAsia="Times New Roman" w:cs="Times New Roman" w:ascii="Times New Roman" w:hAnsi="Times New Roman"/>
        </w:rPr>
      </w:r>
    </w:p>
    <w:p>
      <w:pPr>
        <w:pStyle w:val="Normal"/>
        <w:ind w:firstLine="397" w:start="-284"/>
        <w:rPr>
          <w:rFonts w:ascii="Times New Roman" w:hAnsi="Times New Roman" w:eastAsia="Times New Roman" w:cs="Times New Roman"/>
          <w:b/>
          <w:bCs/>
        </w:rPr>
      </w:pPr>
      <w:r>
        <w:rPr>
          <w:rFonts w:eastAsia="Times New Roman" w:cs="Times New Roman" w:ascii="Times New Roman" w:hAnsi="Times New Roman"/>
          <w:b/>
          <w:bCs/>
        </w:rPr>
        <w:t>Материалы и методы</w:t>
      </w:r>
    </w:p>
    <w:p>
      <w:pPr>
        <w:pStyle w:val="Normal"/>
        <w:ind w:firstLine="397" w:start="-284"/>
        <w:jc w:val="both"/>
        <w:rPr>
          <w:rFonts w:ascii="Times New Roman" w:hAnsi="Times New Roman" w:eastAsia="Times New Roman" w:cs="Times New Roman"/>
        </w:rPr>
      </w:pPr>
      <w:r>
        <w:rPr>
          <w:rFonts w:eastAsia="Times New Roman" w:cs="Times New Roman" w:ascii="Times New Roman" w:hAnsi="Times New Roman"/>
        </w:rPr>
        <w:t xml:space="preserve">Моделирование распространения света проводилось на слое цельной крови толщины 25-200 мкм. Расчет выполнен как для слоя крови, бесконечного в поперечном направлении относительно падающего пучка, так и для слоя крови, </w:t>
      </w:r>
      <w:r>
        <w:rPr>
          <w:rFonts w:eastAsia="Times New Roman" w:cs="Times New Roman" w:ascii="Times New Roman" w:hAnsi="Times New Roman"/>
          <w:shd w:fill="auto" w:val="clear"/>
        </w:rPr>
        <w:t>моделирующего чашку Петри с отражающим дном и стенками. Реализованы случаи, когда клетки распределены по толщине слоя равномерно и когда учитывается седиментация клеток в результате действия гравитационных сил. Агрегация клеток крови не учитывалась, что может быть важным направлением развития созданной модели.</w:t>
      </w:r>
    </w:p>
    <w:p>
      <w:pPr>
        <w:pStyle w:val="Normal"/>
        <w:ind w:firstLine="397" w:start="-284"/>
        <w:jc w:val="both"/>
        <w:rPr>
          <w:rFonts w:ascii="Times New Roman" w:hAnsi="Times New Roman" w:eastAsia="Times New Roman" w:cs="Times New Roman"/>
        </w:rPr>
      </w:pPr>
      <w:r>
        <w:rPr>
          <w:rFonts w:eastAsia="Times New Roman" w:cs="Times New Roman" w:ascii="Times New Roman" w:hAnsi="Times New Roman"/>
          <w:shd w:fill="auto" w:val="clear"/>
        </w:rPr>
        <w:t xml:space="preserve">Разработана программа на языке С++ с интерфейсом на основе </w:t>
      </w:r>
      <w:r>
        <w:rPr>
          <w:rFonts w:eastAsia="Times New Roman" w:cs="Times New Roman" w:ascii="Times New Roman" w:hAnsi="Times New Roman"/>
          <w:shd w:fill="auto" w:val="clear"/>
          <w:lang w:val="en-US"/>
        </w:rPr>
        <w:t>OpenGL</w:t>
      </w:r>
      <w:r>
        <w:rPr>
          <w:rFonts w:eastAsia="Times New Roman" w:cs="Times New Roman" w:ascii="Times New Roman" w:hAnsi="Times New Roman"/>
          <w:shd w:fill="auto" w:val="clear"/>
        </w:rPr>
        <w:t>, позволяющая проводить расчет распространения света в среде по заданным параметрам, набор которых выбирался в зависимости от выбранной фазовой функции рассеяния (</w:t>
      </w:r>
      <w:r>
        <w:rPr>
          <w:rFonts w:cs="Times New Roman" w:ascii="Times New Roman" w:hAnsi="Times New Roman"/>
          <w:shd w:fill="auto" w:val="clear"/>
        </w:rPr>
        <w:t>Хеньи-Гринштайна и Ми</w:t>
      </w:r>
      <w:r>
        <w:rPr>
          <w:rFonts w:eastAsia="Times New Roman" w:cs="Times New Roman" w:ascii="Times New Roman" w:hAnsi="Times New Roman"/>
          <w:shd w:fill="auto" w:val="clear"/>
        </w:rPr>
        <w:t>) и требуемых условий расчета. Также программа позволяет проводить динамическую визуализацию распространения фотонов в слое крови. Доступен расчет и вывод на экран</w:t>
      </w:r>
      <w:r>
        <w:rPr>
          <w:rFonts w:eastAsia="Times New Roman" w:cs="Times New Roman" w:ascii="Times New Roman" w:hAnsi="Times New Roman"/>
        </w:rPr>
        <w:t xml:space="preserve"> данных о числе фотонов, отраженных непосредственно от границы раздела слоя среда-кровь (френелевское отражение), отраженных диффузно в заднее и переднее полупространства, числе поглощенных в слое крови фотонов и баллистических фотонов. На основе проведенного моделирования вычисляется энергия, поглощенная слоем крови за время облучения. Также реализован функционал построения графиков по рассчитанным данным: индикатрис рассеяния и зависимостей числа рассеянных средой фотонов от числа актов рассеяния, претерпеваемых ими. </w:t>
      </w:r>
    </w:p>
    <w:p>
      <w:pPr>
        <w:pStyle w:val="Normal"/>
        <w:ind w:firstLine="397" w:start="-284"/>
        <w:jc w:val="both"/>
        <w:rPr>
          <w:rFonts w:ascii="Times New Roman" w:hAnsi="Times New Roman" w:eastAsia="Times New Roman" w:cs="Times New Roman"/>
        </w:rPr>
      </w:pPr>
      <w:r>
        <w:rPr>
          <w:rFonts w:eastAsia="Times New Roman" w:cs="Times New Roman" w:ascii="Times New Roman" w:hAnsi="Times New Roman"/>
        </w:rPr>
        <w:t xml:space="preserve">Программа позволяет моделировать распространение фотонов как в 2-мерном, так и в 3-мерном режимах. </w:t>
      </w:r>
    </w:p>
    <w:p>
      <w:pPr>
        <w:pStyle w:val="Normal"/>
        <w:ind w:firstLine="397" w:start="-284"/>
        <w:rPr>
          <w:rFonts w:ascii="Times New Roman" w:hAnsi="Times New Roman" w:eastAsia="Times New Roman" w:cs="Times New Roman"/>
          <w:b/>
          <w:bCs/>
        </w:rPr>
      </w:pPr>
      <w:r>
        <w:rPr>
          <w:rFonts w:eastAsia="Times New Roman" w:cs="Times New Roman" w:ascii="Times New Roman" w:hAnsi="Times New Roman"/>
          <w:b/>
          <w:bCs/>
        </w:rPr>
        <w:t>Результаты и выводы</w:t>
      </w:r>
    </w:p>
    <w:p>
      <w:pPr>
        <w:pStyle w:val="Normal"/>
        <w:ind w:firstLine="397" w:start="-284"/>
        <w:jc w:val="both"/>
        <w:rPr>
          <w:rFonts w:ascii="Times New Roman" w:hAnsi="Times New Roman" w:eastAsia="Times New Roman" w:cs="Times New Roman"/>
        </w:rPr>
      </w:pPr>
      <w:r>
        <w:rPr>
          <w:rFonts w:eastAsia="Times New Roman" w:cs="Times New Roman" w:ascii="Times New Roman" w:hAnsi="Times New Roman"/>
        </w:rPr>
        <w:t xml:space="preserve">На рис. 1(а) показана зависимость доли энергии, поглощенной бесконечным в поперечном направлении к падающему пучку слоем крови от толщины слоя, при этом рассматривался 2-мерный случай распространения фотонов (в плоскости). В этом случае предполагалось, что эритроциты равномерно распределены по слою. Видно, что процент поглощенной энергии нелинейно возрастает при увеличении толщины слоя, что объясняется увеличением числа столкновений фотона за счет увеличения толщины слоя. При этом разумно предположить, что дальнейшее увеличение толщины слоя не будет приводить к увеличению процента энергии, поглощенной им. Это связано тем, что отношение числа фотонов, диффузно отраженных средой в заднее полупространство, к общему числу фотонов зависит лишь от оптических параметров среды. </w:t>
      </w:r>
    </w:p>
    <w:p>
      <w:pPr>
        <w:pStyle w:val="Normal"/>
        <w:ind w:firstLine="397" w:start="-284"/>
        <w:jc w:val="both"/>
        <w:rPr>
          <w:rFonts w:ascii="Times New Roman" w:hAnsi="Times New Roman" w:eastAsia="Times New Roman" w:cs="Times New Roman"/>
        </w:rPr>
      </w:pPr>
      <w:r>
        <w:rPr>
          <w:rFonts w:eastAsia="Times New Roman" w:cs="Times New Roman" w:ascii="Times New Roman" w:hAnsi="Times New Roman"/>
        </w:rPr>
        <w:t xml:space="preserve">Также, основываясь на результатах расчета, можно сделать заключение, что эффективность поглощения в режиме Ми меньше по сравнению с Хеньи-Гринштайн. </w:t>
      </w:r>
    </w:p>
    <w:p>
      <w:pPr>
        <w:pStyle w:val="Normal"/>
        <w:ind w:firstLine="283" w:start="-283"/>
        <w:jc w:val="both"/>
        <w:rPr>
          <w:highlight w:val="none"/>
          <w:shd w:fill="auto" w:val="clear"/>
        </w:rPr>
      </w:pPr>
      <w:r>
        <w:drawing>
          <wp:anchor behindDoc="0" distT="0" distB="0" distL="0" distR="0" simplePos="0" locked="0" layoutInCell="1" allowOverlap="1" relativeHeight="3">
            <wp:simplePos x="0" y="0"/>
            <wp:positionH relativeFrom="column">
              <wp:posOffset>450850</wp:posOffset>
            </wp:positionH>
            <wp:positionV relativeFrom="paragraph">
              <wp:posOffset>-1270</wp:posOffset>
            </wp:positionV>
            <wp:extent cx="2440940" cy="1727835"/>
            <wp:effectExtent l="0" t="0" r="0" b="0"/>
            <wp:wrapNone/>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grayscl/>
                    </a:blip>
                    <a:stretch>
                      <a:fillRect/>
                    </a:stretch>
                  </pic:blipFill>
                  <pic:spPr bwMode="auto">
                    <a:xfrm>
                      <a:off x="0" y="0"/>
                      <a:ext cx="2440940" cy="1727835"/>
                    </a:xfrm>
                    <a:prstGeom prst="rect">
                      <a:avLst/>
                    </a:prstGeom>
                  </pic:spPr>
                </pic:pic>
              </a:graphicData>
            </a:graphic>
          </wp:anchor>
        </w:drawing>
      </w:r>
      <w:r>
        <w:rPr>
          <w:shd w:fill="auto" w:val="clear"/>
        </w:rPr>
        <w:t xml:space="preserve">                                                                            </w:t>
      </w:r>
      <w:r>
        <w:rPr/>
        <w:drawing>
          <wp:inline distT="0" distB="0" distL="0" distR="0">
            <wp:extent cx="2658745" cy="1727835"/>
            <wp:effectExtent l="0" t="0" r="0" b="0"/>
            <wp:docPr id="2" name="Рисунок 1" descr="Изображение выглядит как текст, линия, График&#10;&#10;Содержимое, созданное искусственным интеллектом, может быть неверным."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текст, линия, График&#10;&#10;Содержимое, созданное искусственным интеллектом, может быть неверным." title=""/>
                    <pic:cNvPicPr>
                      <a:picLocks noChangeAspect="1" noChangeArrowheads="1"/>
                    </pic:cNvPicPr>
                  </pic:nvPicPr>
                  <pic:blipFill>
                    <a:blip r:embed="rId3"/>
                    <a:stretch>
                      <a:fillRect/>
                    </a:stretch>
                  </pic:blipFill>
                  <pic:spPr bwMode="auto">
                    <a:xfrm>
                      <a:off x="0" y="0"/>
                      <a:ext cx="2658745" cy="1727835"/>
                    </a:xfrm>
                    <a:prstGeom prst="rect">
                      <a:avLst/>
                    </a:prstGeom>
                  </pic:spPr>
                </pic:pic>
              </a:graphicData>
            </a:graphic>
          </wp:inline>
        </w:drawing>
      </w:r>
      <w:r>
        <w:rPr>
          <w:shd w:fill="auto" w:val="clear"/>
        </w:rPr>
        <w:t xml:space="preserve"> </w:t>
      </w:r>
    </w:p>
    <w:p>
      <w:pPr>
        <w:pStyle w:val="Normal"/>
        <w:ind w:firstLine="283"/>
        <w:jc w:val="both"/>
        <w:rPr>
          <w:highlight w:val="none"/>
          <w:shd w:fill="auto" w:val="clear"/>
        </w:rPr>
      </w:pPr>
      <w:r>
        <w:rPr>
          <w:rFonts w:eastAsia="Times New Roman" w:cs="Times New Roman" w:ascii="Times New Roman" w:hAnsi="Times New Roman"/>
          <w:shd w:fill="auto" w:val="clear"/>
        </w:rPr>
        <w:t xml:space="preserve">  </w:t>
      </w:r>
      <w:r>
        <w:rPr>
          <w:rFonts w:eastAsia="Times New Roman" w:cs="Times New Roman" w:ascii="Times New Roman" w:hAnsi="Times New Roman"/>
          <w:i/>
          <w:iCs/>
          <w:shd w:fill="auto" w:val="clear"/>
        </w:rPr>
        <w:t xml:space="preserve">                                       </w:t>
      </w:r>
      <w:r>
        <w:rPr>
          <w:rFonts w:eastAsia="Times New Roman" w:cs="Times New Roman" w:ascii="Times New Roman" w:hAnsi="Times New Roman"/>
          <w:i/>
          <w:iCs/>
          <w:shd w:fill="auto" w:val="clear"/>
        </w:rPr>
        <w:t>(а)</w:t>
      </w:r>
      <w:r>
        <w:rPr>
          <w:rFonts w:ascii="Times New Roman" w:hAnsi="Times New Roman"/>
          <w:i/>
          <w:iCs/>
          <w:shd w:fill="auto" w:val="clear"/>
        </w:rPr>
        <w:tab/>
        <w:tab/>
        <w:tab/>
        <w:tab/>
        <w:tab/>
      </w:r>
      <w:r>
        <w:rPr>
          <w:rFonts w:eastAsia="Times New Roman" w:cs="Times New Roman" w:ascii="Times New Roman" w:hAnsi="Times New Roman"/>
          <w:i/>
          <w:iCs/>
          <w:shd w:fill="auto" w:val="clear"/>
        </w:rPr>
        <w:t xml:space="preserve">    (б)</w:t>
      </w:r>
    </w:p>
    <w:p>
      <w:pPr>
        <w:pStyle w:val="Normal"/>
        <w:ind w:firstLine="397" w:start="-284"/>
        <w:jc w:val="both"/>
        <w:rPr/>
      </w:pPr>
      <w:r>
        <w:rPr>
          <w:rFonts w:eastAsia="Times New Roman" w:cs="Times New Roman" w:ascii="Times New Roman" w:hAnsi="Times New Roman"/>
          <w:i/>
          <w:iCs/>
          <w:shd w:fill="auto" w:val="clear"/>
        </w:rPr>
        <w:t>Рис 1. Процент поглощенной энергии от общего количества энергии, падающей на образец, в зависимости от толщины слоя бесконечного размера в перпендикулярном к пучку фотонов направлении при разных моделях однократного рассеяния (Хеньи-Гринштайн и Ми) (а). Сравнение доли поглощенной энергии для модели Ми в случ</w:t>
      </w:r>
      <w:r>
        <w:rPr>
          <w:rFonts w:eastAsia="Times New Roman" w:cs="Times New Roman" w:ascii="Times New Roman" w:hAnsi="Times New Roman"/>
          <w:i/>
          <w:iCs/>
        </w:rPr>
        <w:t>ае бесконеч</w:t>
      </w:r>
      <w:r>
        <w:rPr>
          <w:rFonts w:eastAsia="Times New Roman" w:cs="Times New Roman" w:ascii="Times New Roman" w:hAnsi="Times New Roman"/>
          <w:i/>
          <w:iCs/>
          <w:shd w:fill="auto" w:val="clear"/>
        </w:rPr>
        <w:t xml:space="preserve">ного слоя крови и слоя крови в чашке Петри с учетом седиментации эритроцитов (б). Параметры расчёта: </w:t>
      </w:r>
      <w:r>
        <w:rPr>
          <w:rFonts w:eastAsia="Times New Roman" w:cs="Times New Roman" w:ascii="Times New Roman" w:hAnsi="Times New Roman"/>
          <w:i/>
          <w:iCs/>
          <w:shd w:fill="auto" w:val="clear"/>
          <w:lang w:val="en-US"/>
        </w:rPr>
        <w:t>g</w:t>
      </w:r>
      <w:r>
        <w:rPr>
          <w:rFonts w:eastAsia="Times New Roman" w:cs="Times New Roman" w:ascii="Times New Roman" w:hAnsi="Times New Roman"/>
          <w:i/>
          <w:iCs/>
          <w:shd w:fill="auto" w:val="clear"/>
        </w:rPr>
        <w:t xml:space="preserve"> = 0,972, </w:t>
      </w:r>
      <w:r>
        <w:rPr>
          <w:rFonts w:eastAsia="Times New Roman" w:cs="Times New Roman" w:ascii="Times New Roman" w:hAnsi="Times New Roman"/>
          <w:i/>
          <w:iCs/>
          <w:shd w:fill="auto" w:val="clear"/>
          <w:lang w:val="en-US"/>
        </w:rPr>
        <w:t>r</w:t>
      </w:r>
      <w:r>
        <w:rPr>
          <w:rFonts w:eastAsia="Times New Roman" w:cs="Times New Roman" w:ascii="Times New Roman" w:hAnsi="Times New Roman"/>
          <w:i/>
          <w:iCs/>
          <w:shd w:fill="auto" w:val="clear"/>
        </w:rPr>
        <w:t xml:space="preserve"> = 3 мкм, </w:t>
      </w:r>
      <w:r>
        <w:rPr>
          <w:rStyle w:val="Strong"/>
          <w:rFonts w:eastAsia="Times New Roman" w:cs="Times New Roman" w:ascii="Times New Roman" w:hAnsi="Times New Roman"/>
          <w:b w:val="false"/>
          <w:bCs w:val="false"/>
          <w:i/>
          <w:iCs/>
          <w:shd w:fill="auto" w:val="clear"/>
        </w:rPr>
        <w:t>λ = 0,514 мкм</w:t>
      </w:r>
      <w:r>
        <w:rPr>
          <w:rFonts w:eastAsia="Times New Roman" w:cs="Times New Roman" w:ascii="Times New Roman" w:hAnsi="Times New Roman"/>
          <w:i/>
          <w:iCs/>
          <w:shd w:fill="auto" w:val="clear"/>
        </w:rPr>
        <w:t>, μ</w:t>
      </w:r>
      <w:r>
        <w:rPr>
          <w:rFonts w:eastAsia="Times New Roman" w:cs="Times New Roman" w:ascii="Times New Roman" w:hAnsi="Times New Roman"/>
          <w:i/>
          <w:iCs/>
          <w:position w:val="-1"/>
          <w:sz w:val="16"/>
          <w:shd w:fill="auto" w:val="clear"/>
          <w:lang w:val="en-US"/>
        </w:rPr>
        <w:t>s</w:t>
      </w:r>
      <w:r>
        <w:rPr>
          <w:rFonts w:eastAsia="Times New Roman" w:cs="Times New Roman" w:ascii="Times New Roman" w:hAnsi="Times New Roman"/>
          <w:i/>
          <w:iCs/>
          <w:shd w:fill="auto" w:val="clear"/>
        </w:rPr>
        <w:t xml:space="preserve"> = 221 мм</w:t>
      </w:r>
      <w:r>
        <w:rPr>
          <w:rFonts w:eastAsia="Times New Roman" w:cs="Times New Roman" w:ascii="Times New Roman" w:hAnsi="Times New Roman"/>
          <w:i/>
          <w:iCs/>
          <w:position w:val="6"/>
          <w:sz w:val="16"/>
          <w:shd w:fill="auto" w:val="clear"/>
        </w:rPr>
        <w:t>-1</w:t>
      </w:r>
      <w:r>
        <w:rPr>
          <w:rFonts w:eastAsia="Times New Roman" w:cs="Times New Roman" w:ascii="Times New Roman" w:hAnsi="Times New Roman"/>
          <w:i/>
          <w:iCs/>
          <w:shd w:fill="auto" w:val="clear"/>
        </w:rPr>
        <w:t>, μ</w:t>
      </w:r>
      <w:r>
        <w:rPr>
          <w:rFonts w:eastAsia="Times New Roman" w:cs="Times New Roman" w:ascii="Times New Roman" w:hAnsi="Times New Roman"/>
          <w:i/>
          <w:iCs/>
          <w:position w:val="-1"/>
          <w:sz w:val="16"/>
          <w:shd w:fill="auto" w:val="clear"/>
          <w:lang w:val="en-US"/>
        </w:rPr>
        <w:t>a</w:t>
      </w:r>
      <w:r>
        <w:rPr>
          <w:rFonts w:eastAsia="Times New Roman" w:cs="Times New Roman" w:ascii="Times New Roman" w:hAnsi="Times New Roman"/>
          <w:i/>
          <w:iCs/>
          <w:shd w:fill="auto" w:val="clear"/>
        </w:rPr>
        <w:t xml:space="preserve"> = 22,7 мм</w:t>
      </w:r>
      <w:r>
        <w:rPr>
          <w:rFonts w:eastAsia="Times New Roman" w:cs="Times New Roman" w:ascii="Times New Roman" w:hAnsi="Times New Roman"/>
          <w:i/>
          <w:iCs/>
          <w:position w:val="6"/>
          <w:sz w:val="16"/>
          <w:shd w:fill="auto" w:val="clear"/>
        </w:rPr>
        <w:t>-1</w:t>
      </w:r>
      <w:r>
        <w:rPr>
          <w:rFonts w:eastAsia="Times New Roman" w:cs="Times New Roman" w:ascii="Times New Roman" w:hAnsi="Times New Roman"/>
          <w:i/>
          <w:iCs/>
          <w:shd w:fill="auto" w:val="clear"/>
        </w:rPr>
        <w:t>, гематокрит 40%.</w:t>
      </w:r>
    </w:p>
    <w:p>
      <w:pPr>
        <w:pStyle w:val="Normal"/>
        <w:ind w:firstLine="397" w:start="-284"/>
        <w:jc w:val="both"/>
        <w:rPr>
          <w:highlight w:val="none"/>
          <w:shd w:fill="auto" w:val="clear"/>
        </w:rPr>
      </w:pPr>
      <w:r>
        <w:rPr>
          <w:rFonts w:eastAsia="Times New Roman" w:cs="Times New Roman" w:ascii="Times New Roman" w:hAnsi="Times New Roman"/>
          <w:shd w:fill="auto" w:val="clear"/>
        </w:rPr>
        <w:t>На рис. 1(б) сравниваются доли поглощенной энергии в зависимости от толщины слоя для модели однократного рассеяния Ми, когда образец моделируется либо бесконечным слоем, либо чашкой Петри с идеально отражающими стенками. При этом в обоих случаях учтена седиментация эритроцитов, а потому среда моделировалась двумя слоями: однородный слой плазмы крови и слой с осевшими эритроцитами.  Падающий свет моделировался Гауссовым пучком, а распространение фотонов моделировалось в 3-мерном режиме. Видно, что график поглощенной энергии смещается вверх, что в основном является результатом отсутствия возможности у фотонов покинуть слой из-за отражающих стенок и дна чашки Петри.</w:t>
      </w:r>
    </w:p>
    <w:p>
      <w:pPr>
        <w:pStyle w:val="Normal"/>
        <w:ind w:firstLine="397" w:start="-284"/>
        <w:jc w:val="both"/>
        <w:rPr>
          <w:highlight w:val="none"/>
          <w:shd w:fill="auto" w:val="clear"/>
        </w:rPr>
      </w:pPr>
      <w:r>
        <w:rPr>
          <w:rFonts w:eastAsia="Times New Roman" w:cs="Times New Roman" w:ascii="Times New Roman" w:hAnsi="Times New Roman"/>
          <w:shd w:fill="auto" w:val="clear"/>
        </w:rPr>
        <w:t xml:space="preserve">Данные результаты помогут сформулировать рекомендации для коррекции нарушений параметров крови с помощью лазерного излучения. </w:t>
      </w:r>
    </w:p>
    <w:p>
      <w:pPr>
        <w:pStyle w:val="Normal"/>
        <w:ind w:firstLine="397" w:start="-284"/>
        <w:jc w:val="both"/>
        <w:rPr>
          <w:highlight w:val="none"/>
          <w:shd w:fill="auto" w:val="clear"/>
        </w:rPr>
      </w:pPr>
      <w:r>
        <w:rPr>
          <w:shd w:fill="auto" w:val="clear"/>
        </w:rPr>
        <w:t>Выполнено при финансовой поддержке гранта РНФ № 25-15-00172.</w:t>
      </w:r>
    </w:p>
    <w:p>
      <w:pPr>
        <w:pStyle w:val="Normal"/>
        <w:ind w:firstLine="397" w:start="-284"/>
        <w:jc w:val="both"/>
        <w:rPr>
          <w:rFonts w:ascii="Times New Roman" w:hAnsi="Times New Roman" w:eastAsia="Times New Roman" w:cs="Times New Roman"/>
          <w:highlight w:val="none"/>
          <w:shd w:fill="auto" w:val="clear"/>
        </w:rPr>
      </w:pPr>
      <w:r>
        <w:rPr>
          <w:rFonts w:eastAsia="Times New Roman" w:cs="Times New Roman" w:ascii="Times New Roman" w:hAnsi="Times New Roman"/>
          <w:shd w:fill="auto" w:val="clear"/>
        </w:rPr>
      </w:r>
    </w:p>
    <w:p>
      <w:pPr>
        <w:pStyle w:val="Normal"/>
        <w:ind w:firstLine="397" w:start="-284"/>
        <w:jc w:val="both"/>
        <w:rPr/>
      </w:pPr>
      <w:r>
        <w:rPr>
          <w:rFonts w:eastAsia="Times New Roman" w:cs="Times New Roman" w:ascii="Times New Roman" w:hAnsi="Times New Roman"/>
          <w:b/>
          <w:bCs/>
        </w:rPr>
        <w:t>Литература</w:t>
      </w:r>
    </w:p>
    <w:p>
      <w:pPr>
        <w:pStyle w:val="Normal"/>
        <w:numPr>
          <w:ilvl w:val="0"/>
          <w:numId w:val="1"/>
        </w:numPr>
        <w:jc w:val="both"/>
        <w:rPr>
          <w:rFonts w:ascii="Times New Roman" w:hAnsi="Times New Roman" w:eastAsia="Times New Roman" w:cs="Times New Roman"/>
        </w:rPr>
      </w:pPr>
      <w:r>
        <w:rPr>
          <w:rFonts w:eastAsia="Times New Roman" w:cs="Times New Roman" w:ascii="Times New Roman" w:hAnsi="Times New Roman"/>
        </w:rPr>
        <w:t>Кириллин М. Ю., Приезжев А. В. Моделирование распространения лазерного пучка в плоском слое суспензии эритроцитов методом Монте-Карло: сравнение вкладов рассеяния с различными кратностями в угловое распределение света // Квантовая электроника. 2002. Т. 32, № 10. С. 883–887.</w:t>
      </w:r>
    </w:p>
    <w:p>
      <w:pPr>
        <w:pStyle w:val="Normal"/>
        <w:numPr>
          <w:ilvl w:val="0"/>
          <w:numId w:val="1"/>
        </w:numPr>
        <w:jc w:val="both"/>
        <w:rPr/>
      </w:pPr>
      <w:r>
        <w:rPr>
          <w:rFonts w:eastAsia="Times New Roman" w:cs="Times New Roman" w:ascii="Times New Roman" w:hAnsi="Times New Roman"/>
        </w:rPr>
        <w:t>Лопатин В. Н., Приезжев А. В., Апонасенко А. Д. Методы светорассеяния в анализе дисперсных биологических сред. Москва : ФИЗМАТЛИТ, 2004. 384 с. ISBN 5-9221-0547-7.</w:t>
      </w:r>
    </w:p>
    <w:sectPr>
      <w:type w:val="nextPage"/>
      <w:pgSz w:w="11906" w:h="16838"/>
      <w:pgMar w:left="1361" w:right="1361" w:gutter="0" w:header="0" w:top="1134" w:footer="0" w:bottom="125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36" w:hanging="360"/>
      </w:pPr>
      <w:rPr/>
    </w:lvl>
    <w:lvl w:ilvl="1">
      <w:start w:val="1"/>
      <w:numFmt w:val="decimal"/>
      <w:lvlText w:val="%2."/>
      <w:lvlJc w:val="start"/>
      <w:pPr>
        <w:tabs>
          <w:tab w:val="num" w:pos="0"/>
        </w:tabs>
        <w:ind w:start="796" w:hanging="360"/>
      </w:pPr>
      <w:rPr/>
    </w:lvl>
    <w:lvl w:ilvl="2">
      <w:start w:val="1"/>
      <w:numFmt w:val="decimal"/>
      <w:lvlText w:val="%3."/>
      <w:lvlJc w:val="start"/>
      <w:pPr>
        <w:tabs>
          <w:tab w:val="num" w:pos="0"/>
        </w:tabs>
        <w:ind w:start="1156" w:hanging="360"/>
      </w:pPr>
      <w:rPr/>
    </w:lvl>
    <w:lvl w:ilvl="3">
      <w:start w:val="1"/>
      <w:numFmt w:val="decimal"/>
      <w:lvlText w:val="%4."/>
      <w:lvlJc w:val="start"/>
      <w:pPr>
        <w:tabs>
          <w:tab w:val="num" w:pos="0"/>
        </w:tabs>
        <w:ind w:start="1516" w:hanging="360"/>
      </w:pPr>
      <w:rPr/>
    </w:lvl>
    <w:lvl w:ilvl="4">
      <w:start w:val="1"/>
      <w:numFmt w:val="decimal"/>
      <w:lvlText w:val="%5."/>
      <w:lvlJc w:val="start"/>
      <w:pPr>
        <w:tabs>
          <w:tab w:val="num" w:pos="0"/>
        </w:tabs>
        <w:ind w:start="1876" w:hanging="360"/>
      </w:pPr>
      <w:rPr/>
    </w:lvl>
    <w:lvl w:ilvl="5">
      <w:start w:val="1"/>
      <w:numFmt w:val="decimal"/>
      <w:lvlText w:val="%6."/>
      <w:lvlJc w:val="start"/>
      <w:pPr>
        <w:tabs>
          <w:tab w:val="num" w:pos="0"/>
        </w:tabs>
        <w:ind w:start="2236" w:hanging="360"/>
      </w:pPr>
      <w:rPr/>
    </w:lvl>
    <w:lvl w:ilvl="6">
      <w:start w:val="1"/>
      <w:numFmt w:val="decimal"/>
      <w:lvlText w:val="%7."/>
      <w:lvlJc w:val="start"/>
      <w:pPr>
        <w:tabs>
          <w:tab w:val="num" w:pos="0"/>
        </w:tabs>
        <w:ind w:start="2596" w:hanging="360"/>
      </w:pPr>
      <w:rPr/>
    </w:lvl>
    <w:lvl w:ilvl="7">
      <w:start w:val="1"/>
      <w:numFmt w:val="decimal"/>
      <w:lvlText w:val="%8."/>
      <w:lvlJc w:val="start"/>
      <w:pPr>
        <w:tabs>
          <w:tab w:val="num" w:pos="0"/>
        </w:tabs>
        <w:ind w:start="2956" w:hanging="360"/>
      </w:pPr>
      <w:rPr/>
    </w:lvl>
    <w:lvl w:ilvl="8">
      <w:start w:val="1"/>
      <w:numFmt w:val="decimal"/>
      <w:lvlText w:val="%9."/>
      <w:lvlJc w:val="start"/>
      <w:pPr>
        <w:tabs>
          <w:tab w:val="num" w:pos="0"/>
        </w:tabs>
        <w:ind w:start="3316"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ind w:firstLine="397"/>
      <w:jc w:val="start"/>
    </w:pPr>
    <w:rPr>
      <w:rFonts w:ascii="Liberation Serif" w:hAnsi="Liberation Serif" w:eastAsia="NSimSun" w:cs="Lucida Sans"/>
      <w:color w:val="000000"/>
      <w:kern w:val="2"/>
      <w:sz w:val="24"/>
      <w:szCs w:val="24"/>
      <w:lang w:val="ru-RU" w:eastAsia="zh-CN" w:bidi="hi-IN"/>
    </w:rPr>
  </w:style>
  <w:style w:type="character" w:styleId="DefaultParagraphFont" w:default="1">
    <w:name w:val="Default Paragraph Font"/>
    <w:uiPriority w:val="1"/>
    <w:semiHidden/>
    <w:unhideWhenUsed/>
    <w:qFormat/>
    <w:rPr/>
  </w:style>
  <w:style w:type="character" w:styleId="Emphasis">
    <w:name w:val="Emphasis"/>
    <w:qFormat/>
    <w:rPr>
      <w:i/>
      <w:iCs/>
    </w:rPr>
  </w:style>
  <w:style w:type="character" w:styleId="Strong">
    <w:name w:val="Strong"/>
    <w:qFormat/>
    <w:rPr>
      <w:b/>
      <w:bCs/>
    </w:rPr>
  </w:style>
  <w:style w:type="character" w:styleId="Style14" w:customStyle="1">
    <w:name w:val="Символ нумерации"/>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 w:hAnsi="Liberation Sans" w:eastAsia="Microsoft YaHei"/>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Caption111" w:customStyle="1">
    <w:name w:val="caption111"/>
    <w:basedOn w:val="Normal"/>
    <w:qFormat/>
    <w:pPr>
      <w:suppressLineNumbers/>
      <w:spacing w:before="120" w:after="120"/>
    </w:pPr>
    <w:rPr>
      <w:i/>
      <w:iCs/>
    </w:rPr>
  </w:style>
  <w:style w:type="paragraph" w:styleId="NormalWeb">
    <w:name w:val="Normal (Web)"/>
    <w:basedOn w:val="Normal"/>
    <w:qFormat/>
    <w:pPr/>
    <w:rPr>
      <w:rFonts w:ascii="Times New Roman" w:hAnsi="Times New Roman" w:eastAsia="Times New Roman" w:cs="Times New Roman"/>
    </w:rPr>
  </w:style>
  <w:style w:type="paragraph" w:styleId="PlainText">
    <w:name w:val="Plain Text"/>
    <w:basedOn w:val="Caption111"/>
    <w:qFormat/>
    <w:pPr/>
    <w:rPr/>
  </w:style>
  <w:style w:type="paragraph" w:styleId="Style17"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7294-68D6-46BB-8205-F3A9BE74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Application>LibreOffice/7.6.4.1$Windows_X86_64 LibreOffice_project/e19e193f88cd6c0525a17fb7a176ed8e6a3e2aa1</Application>
  <AppVersion>15.0000</AppVersion>
  <Pages>2</Pages>
  <Words>777</Words>
  <Characters>5255</Characters>
  <CharactersWithSpaces>6145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2026-03-07T11:45:00Z</dcterms:created>
  <dc:creator/>
  <dc:description/>
  <dc:language>ru-RU</dc:language>
  <cp:lastModifiedBy/>
  <dcterms:modified xsi:type="dcterms:W3CDTF">2026-03-08T18:59:56Z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