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ACEA" w14:textId="1BB39AAF" w:rsidR="00420B23" w:rsidRDefault="00420B23" w:rsidP="00420B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Дифракционные линзы с увеличенной глубиной резкости, изготовленные методом двухфотонной лазерной литографии</w:t>
      </w:r>
    </w:p>
    <w:p w14:paraId="706A3FE2" w14:textId="7C120AC2" w:rsidR="00420B23" w:rsidRPr="00887457" w:rsidRDefault="00420B23" w:rsidP="001F22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Четверин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Р.С., Шарипова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М.И. ,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Федянин А.А.</w:t>
      </w:r>
    </w:p>
    <w:p w14:paraId="3721A7C1" w14:textId="0A507713" w:rsidR="00420B23" w:rsidRDefault="00420B23" w:rsidP="00420B2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6-ого курса специалитета</w:t>
      </w:r>
    </w:p>
    <w:p w14:paraId="212D6B43" w14:textId="4BF4BD56" w:rsidR="00420B23" w:rsidRDefault="00420B23" w:rsidP="00420B2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6967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36967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43696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6789C24" w14:textId="77777777" w:rsidR="00420B23" w:rsidRDefault="00420B23" w:rsidP="00420B2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физический</w:t>
      </w:r>
      <w:r w:rsidRPr="00436967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факультет, Москва, Россия</w:t>
      </w:r>
    </w:p>
    <w:p w14:paraId="2AC45773" w14:textId="0CEEFB14" w:rsidR="00420B23" w:rsidRPr="001F2214" w:rsidRDefault="00420B23" w:rsidP="00420B23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91222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F221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91222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F221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E763BE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chetverin</w:t>
        </w:r>
        <w:r w:rsidRPr="001F2214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E763BE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rs</w:t>
        </w:r>
        <w:r w:rsidRPr="001F2214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20@</w:t>
        </w:r>
        <w:r w:rsidRPr="00E763BE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physics</w:t>
        </w:r>
        <w:r w:rsidRPr="001F2214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E763BE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msu</w:t>
        </w:r>
        <w:r w:rsidRPr="001F2214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E763BE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3CCEA8E4" w14:textId="77777777" w:rsidR="00420B23" w:rsidRPr="00CE5E0D" w:rsidRDefault="00420B23" w:rsidP="00CE5E0D">
      <w:pPr>
        <w:pStyle w:val="a3"/>
        <w:jc w:val="both"/>
      </w:pPr>
      <w:r w:rsidRPr="00CE5E0D">
        <w:t>Современная тенденция миниатюризации оптических систем требует разработки компактных и технологичных элементов плоской оптики. Дифракционные линзы позволяют реализовать фокусирующие элементы субмикронной толщины, однако их широкое применение ограничено выраженными хроматическими аберрациями: фокусное расстояние существенно зависит от длины волны, что приводит к размытию изображения при работе в широком спектральном диапазоне. В связи с этим актуальной задачей является создание ахроматических дифракционных линз, сохраняющих компактность и простоту конструкции.</w:t>
      </w:r>
    </w:p>
    <w:p w14:paraId="0D222CA4" w14:textId="0BD9C815" w:rsidR="00C53F57" w:rsidRPr="00CE5E0D" w:rsidRDefault="00420B23" w:rsidP="00CE5E0D">
      <w:pPr>
        <w:pStyle w:val="a3"/>
        <w:jc w:val="both"/>
        <w:rPr>
          <w:lang w:val="en-US"/>
        </w:rPr>
      </w:pPr>
      <w:r w:rsidRPr="00CE5E0D">
        <w:t xml:space="preserve">Одним из перспективных подходов к </w:t>
      </w:r>
      <w:proofErr w:type="spellStart"/>
      <w:r w:rsidRPr="00CE5E0D">
        <w:t>ахроматизации</w:t>
      </w:r>
      <w:proofErr w:type="spellEnd"/>
      <w:r w:rsidRPr="00CE5E0D">
        <w:t xml:space="preserve"> является увеличение глубины резкости за счёт модификации фазового профиля линзы</w:t>
      </w:r>
      <w:r w:rsidR="00C53F57" w:rsidRPr="00CE5E0D">
        <w:t xml:space="preserve"> [1]</w:t>
      </w:r>
      <w:r w:rsidRPr="00CE5E0D">
        <w:t xml:space="preserve">. В данной работе реализован метод добавления кубической нелинейности к гиперболическому фазовому профилю </w:t>
      </w:r>
      <w:proofErr w:type="spellStart"/>
      <w:r w:rsidRPr="00CE5E0D">
        <w:t>френелевской</w:t>
      </w:r>
      <w:proofErr w:type="spellEnd"/>
      <w:r w:rsidRPr="00CE5E0D">
        <w:t xml:space="preserve"> линзы. </w:t>
      </w:r>
      <w:r w:rsidR="00C53F57" w:rsidRPr="00CE5E0D">
        <w:t>В таком случае фазовый профиль будет иметь следующий вид</w:t>
      </w:r>
      <w:r w:rsidR="00C53F57" w:rsidRPr="00CE5E0D">
        <w:rPr>
          <w:lang w:val="en-US"/>
        </w:rPr>
        <w:t>:</w:t>
      </w:r>
    </w:p>
    <w:p w14:paraId="3CDD860D" w14:textId="56D99287" w:rsidR="00C53F57" w:rsidRPr="00CE5E0D" w:rsidRDefault="00C53F57" w:rsidP="00CE5E0D">
      <w:pPr>
        <w:pStyle w:val="a3"/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φ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x, y</m:t>
              </m: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2π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val="en-US"/>
                </w:rPr>
                <m:t>-f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),</m:t>
          </m:r>
        </m:oMath>
      </m:oMathPara>
    </w:p>
    <w:p w14:paraId="73D7361B" w14:textId="11936046" w:rsidR="00C53F57" w:rsidRPr="00CE5E0D" w:rsidRDefault="00C53F57" w:rsidP="00CE5E0D">
      <w:pPr>
        <w:pStyle w:val="a3"/>
        <w:jc w:val="both"/>
      </w:pPr>
      <w:r w:rsidRPr="00CE5E0D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CE5E0D">
        <w:t xml:space="preserve"> - центральная длина волны, </w:t>
      </w:r>
      <w:r w:rsidRPr="00CE5E0D">
        <w:rPr>
          <w:rFonts w:ascii="Cambria Math" w:hAnsi="Cambria Math" w:cs="Cambria Math"/>
          <w:lang w:val="en-US"/>
        </w:rPr>
        <w:t>𝑥</w:t>
      </w:r>
      <w:r w:rsidRPr="00CE5E0D">
        <w:t xml:space="preserve">, </w:t>
      </w:r>
      <w:r w:rsidRPr="00CE5E0D">
        <w:rPr>
          <w:rFonts w:ascii="Cambria Math" w:hAnsi="Cambria Math" w:cs="Cambria Math"/>
          <w:lang w:val="en-US"/>
        </w:rPr>
        <w:t>𝑦</w:t>
      </w:r>
      <w:r w:rsidRPr="00CE5E0D">
        <w:t xml:space="preserve"> - координаты в плоскости линзы, </w:t>
      </w:r>
      <w:r w:rsidRPr="00CE5E0D">
        <w:rPr>
          <w:rFonts w:ascii="Cambria Math" w:hAnsi="Cambria Math" w:cs="Cambria Math"/>
          <w:lang w:val="en-US"/>
        </w:rPr>
        <w:t>𝑓</w:t>
      </w:r>
      <w:r w:rsidRPr="00CE5E0D">
        <w:t xml:space="preserve"> - фокальное расстояние, </w:t>
      </w:r>
      <w:r w:rsidRPr="00CE5E0D">
        <w:rPr>
          <w:rFonts w:ascii="Cambria Math" w:hAnsi="Cambria Math" w:cs="Cambria Math"/>
          <w:lang w:val="en-US"/>
        </w:rPr>
        <w:t>𝛼</w:t>
      </w:r>
      <w:r w:rsidRPr="00CE5E0D">
        <w:t xml:space="preserve"> - коэффициент кубической нелинейности</w:t>
      </w:r>
      <w:r w:rsidR="00C2547F" w:rsidRPr="00C2547F">
        <w:t xml:space="preserve"> </w:t>
      </w:r>
      <w:r w:rsidR="00C2547F">
        <w:t>(</w:t>
      </w:r>
      <w:r w:rsidR="00C2547F" w:rsidRPr="00CE5E0D">
        <w:rPr>
          <w:rFonts w:ascii="Cambria Math" w:hAnsi="Cambria Math" w:cs="Cambria Math"/>
          <w:lang w:val="en-US"/>
        </w:rPr>
        <w:t>𝛼</w:t>
      </w:r>
      <w:r w:rsidR="00C2547F">
        <w:rPr>
          <w:rFonts w:ascii="Cambria Math" w:hAnsi="Cambria Math" w:cs="Cambria Math"/>
        </w:rPr>
        <w:t xml:space="preserve"> = 0 соответствует стандартному гиперболическому профилю)</w:t>
      </w:r>
      <w:r w:rsidRPr="00CE5E0D">
        <w:t xml:space="preserve">, </w:t>
      </w:r>
      <w:r w:rsidRPr="00CE5E0D">
        <w:rPr>
          <w:rFonts w:ascii="Cambria Math" w:hAnsi="Cambria Math" w:cs="Cambria Math"/>
          <w:lang w:val="en-US"/>
        </w:rPr>
        <w:t>𝐿</w:t>
      </w:r>
      <w:r w:rsidRPr="00CE5E0D">
        <w:t xml:space="preserve"> - половина апертуры линзы.</w:t>
      </w:r>
    </w:p>
    <w:p w14:paraId="5F3215A8" w14:textId="4E8CDDB4" w:rsidR="00420B23" w:rsidRPr="00CE5E0D" w:rsidRDefault="00420B23" w:rsidP="00CE5E0D">
      <w:pPr>
        <w:pStyle w:val="a3"/>
        <w:jc w:val="both"/>
      </w:pPr>
      <w:r w:rsidRPr="00CE5E0D">
        <w:t>Такая модификация приводит к растяжению фокального объёма вдоль оптической оси и перекрытию фокусов различных длин волн в заданном диапазоне, что обеспечивает ахроматический отклик без использования многослойных структур или комбинации различных материалов.</w:t>
      </w:r>
    </w:p>
    <w:p w14:paraId="1F75BE47" w14:textId="2E28B32C" w:rsidR="00420B23" w:rsidRPr="00CE5E0D" w:rsidRDefault="00420B23" w:rsidP="00CE5E0D">
      <w:pPr>
        <w:pStyle w:val="a3"/>
        <w:jc w:val="both"/>
      </w:pPr>
      <w:r w:rsidRPr="00CE5E0D">
        <w:t xml:space="preserve">Целью работы являлись численный расчёт, изготовление и экспериментальная </w:t>
      </w:r>
      <w:proofErr w:type="spellStart"/>
      <w:r w:rsidRPr="00CE5E0D">
        <w:t>характеризация</w:t>
      </w:r>
      <w:proofErr w:type="spellEnd"/>
      <w:r w:rsidRPr="00CE5E0D">
        <w:t xml:space="preserve"> ахроматических дифракционных линз с увеличенной глубиной резкости. В качестве базовых параметров были выбраны: центральная длина волны 500 </w:t>
      </w:r>
      <w:proofErr w:type="spellStart"/>
      <w:r w:rsidRPr="00CE5E0D">
        <w:t>нм</w:t>
      </w:r>
      <w:proofErr w:type="spellEnd"/>
      <w:r w:rsidRPr="00CE5E0D">
        <w:t>, фокусное расстояние 100 мкм, апертура 100 мкм и показатель преломления материала 1.5, соответствующий фоторезисту SZ2080 в видимом диапазоне</w:t>
      </w:r>
      <w:r w:rsidR="00C53F57" w:rsidRPr="00CE5E0D">
        <w:t xml:space="preserve"> [2]</w:t>
      </w:r>
      <w:r w:rsidRPr="00CE5E0D">
        <w:t>.</w:t>
      </w:r>
    </w:p>
    <w:p w14:paraId="03116105" w14:textId="4E15E7A1" w:rsidR="00420B23" w:rsidRPr="00CE5E0D" w:rsidRDefault="00420B23" w:rsidP="00CE5E0D">
      <w:pPr>
        <w:pStyle w:val="a3"/>
        <w:jc w:val="both"/>
      </w:pPr>
      <w:r w:rsidRPr="00CE5E0D">
        <w:t xml:space="preserve">Численное моделирование распространения излучения проводилось методом конечных разностей во временной области для длин волн в диапазоне 400- 700 </w:t>
      </w:r>
      <w:proofErr w:type="spellStart"/>
      <w:r w:rsidRPr="00CE5E0D">
        <w:t>нм</w:t>
      </w:r>
      <w:proofErr w:type="spellEnd"/>
      <w:r w:rsidRPr="00CE5E0D">
        <w:t xml:space="preserve">. Исследовалось влияние коэффициента кубической добавки α на распределение интенсивности и глубину фокуса. Показано, что при малых значениях α фокусы разных цветов </w:t>
      </w:r>
      <w:proofErr w:type="spellStart"/>
      <w:r w:rsidRPr="00CE5E0D">
        <w:t>пространственно</w:t>
      </w:r>
      <w:proofErr w:type="spellEnd"/>
      <w:r w:rsidRPr="00CE5E0D">
        <w:t xml:space="preserve"> разделены, как и в случае обычной </w:t>
      </w:r>
      <w:proofErr w:type="spellStart"/>
      <w:r w:rsidRPr="00CE5E0D">
        <w:t>френелевской</w:t>
      </w:r>
      <w:proofErr w:type="spellEnd"/>
      <w:r w:rsidRPr="00CE5E0D">
        <w:t xml:space="preserve"> линзы. При увеличении α происходит вытягивание фокального объёма и сближение фокусов. Перекрытие диапазонов фокусировки для всего видимого спектра достигается в интервале α ≈ 25π–50π. Минимальное значение, при котором наблюдается перекрытие, составляет 25π, что обеспечивает компромисс между </w:t>
      </w:r>
      <w:proofErr w:type="spellStart"/>
      <w:r w:rsidRPr="00CE5E0D">
        <w:t>ахроматичностью</w:t>
      </w:r>
      <w:proofErr w:type="spellEnd"/>
      <w:r w:rsidRPr="00CE5E0D">
        <w:t xml:space="preserve"> и эффективностью фокусировки.</w:t>
      </w:r>
    </w:p>
    <w:p w14:paraId="4CC3AB46" w14:textId="4DB624EE" w:rsidR="00420B23" w:rsidRPr="00CE5E0D" w:rsidRDefault="00420B23" w:rsidP="00CE5E0D">
      <w:pPr>
        <w:pStyle w:val="a3"/>
        <w:jc w:val="both"/>
      </w:pPr>
      <w:r w:rsidRPr="00CE5E0D">
        <w:lastRenderedPageBreak/>
        <w:t>Образцы линз были изготовлены методом двухфотонной лазерной литографии. В качестве материала применялся коммерческий фоторезист SZ2080. Были изготовлены четыре линзы: с α = 0 (контрольный образец), α = 25π, α = 35π и α = 50π. Качество структур подтверждено методами оптической и сканирующей электронной микроскопии; геометрия изготовленных образцов соответствует заданным моделям.</w:t>
      </w:r>
    </w:p>
    <w:p w14:paraId="098E6797" w14:textId="77777777" w:rsidR="00420B23" w:rsidRPr="00CE5E0D" w:rsidRDefault="00420B23" w:rsidP="00CE5E0D">
      <w:pPr>
        <w:pStyle w:val="a3"/>
        <w:jc w:val="both"/>
      </w:pPr>
      <w:r w:rsidRPr="00CE5E0D">
        <w:t xml:space="preserve">Оптическая </w:t>
      </w:r>
      <w:proofErr w:type="spellStart"/>
      <w:r w:rsidRPr="00CE5E0D">
        <w:t>характеризация</w:t>
      </w:r>
      <w:proofErr w:type="spellEnd"/>
      <w:r w:rsidRPr="00CE5E0D">
        <w:t xml:space="preserve"> проводилась в трёх сериях экспериментов. При освещении белым светом на оптическом микроскопе установлено, что линза без кубической добавки демонстрирует сильные хроматические аберрации: фокусы синего, зелёного и красного света разнесены на десятки микрометров. Линзы с кубической модификацией формируют фокус белого света на одном расстоянии от линзы, что свидетельствует о достижении ахроматического отклика. При этом наблюдается асимметричное фокальное пятно с характерной структурой из центрального максимума и боковых хвостов, обусловленной кубической фазовой модуляцией.</w:t>
      </w:r>
    </w:p>
    <w:p w14:paraId="3728B717" w14:textId="77777777" w:rsidR="00420B23" w:rsidRPr="00CE5E0D" w:rsidRDefault="00420B23" w:rsidP="00CE5E0D">
      <w:pPr>
        <w:pStyle w:val="a3"/>
        <w:jc w:val="both"/>
      </w:pPr>
      <w:r w:rsidRPr="00CE5E0D">
        <w:t xml:space="preserve">В эксперименте по построению цветного изображения показано, что линзы с кубической добавкой обеспечивают существенно лучшую цветопередачу по сравнению с обычной </w:t>
      </w:r>
      <w:proofErr w:type="spellStart"/>
      <w:r w:rsidRPr="00CE5E0D">
        <w:t>френелевской</w:t>
      </w:r>
      <w:proofErr w:type="spellEnd"/>
      <w:r w:rsidRPr="00CE5E0D">
        <w:t xml:space="preserve"> линзой. Наилучший компромисс между чёткостью границ и цветовой однородностью продемонстрировала линза с α = 35π.</w:t>
      </w:r>
    </w:p>
    <w:p w14:paraId="3004BFC7" w14:textId="77777777" w:rsidR="00420B23" w:rsidRPr="00CE5E0D" w:rsidRDefault="00420B23" w:rsidP="00CE5E0D">
      <w:pPr>
        <w:pStyle w:val="a3"/>
        <w:jc w:val="both"/>
      </w:pPr>
      <w:r w:rsidRPr="00CE5E0D">
        <w:t xml:space="preserve">Количественные измерения распределения интенсивности выполнялись с использованием лазерных источников на 405 </w:t>
      </w:r>
      <w:proofErr w:type="spellStart"/>
      <w:r w:rsidRPr="00CE5E0D">
        <w:t>нм</w:t>
      </w:r>
      <w:proofErr w:type="spellEnd"/>
      <w:r w:rsidRPr="00CE5E0D">
        <w:t xml:space="preserve"> и в диапазоне 550–700 </w:t>
      </w:r>
      <w:proofErr w:type="spellStart"/>
      <w:r w:rsidRPr="00CE5E0D">
        <w:t>нм</w:t>
      </w:r>
      <w:proofErr w:type="spellEnd"/>
      <w:r w:rsidRPr="00CE5E0D">
        <w:t>. Для линз с α = 35π и α = 50π зафиксировано перекрытие диапазонов фокусировки синего, зелёного и красного света в области 70–90 мкм от линзы, что подтверждает наличие ахроматического отклика во всём видимом спектре. Наличие кубической добавки приводит к увеличению глубины резкости и одновременному снижению эффективности фокусировки по сравнению с линзой без модификации, что соответствует результатам численного моделирования.</w:t>
      </w:r>
    </w:p>
    <w:p w14:paraId="413E07A4" w14:textId="4722E56A" w:rsidR="00420B23" w:rsidRPr="00CE5E0D" w:rsidRDefault="00420B23" w:rsidP="00CE5E0D">
      <w:pPr>
        <w:pStyle w:val="a3"/>
        <w:jc w:val="both"/>
      </w:pPr>
      <w:r w:rsidRPr="00CE5E0D">
        <w:t xml:space="preserve">Таким образом, в работе продемонстрирована возможность реализации ахроматических дифракционных линз с использованием однослойной структуры и одного материала за счёт модификации фазового профиля. Метод двухфотонной лазерной литографии обеспечивает необходимую точность формирования трёхмерного рельефа. Полученные результаты подтверждают перспективность подхода увеличения глубины резкости для создания компактных ахроматических </w:t>
      </w:r>
      <w:proofErr w:type="spellStart"/>
      <w:r w:rsidRPr="00CE5E0D">
        <w:t>микрооптических</w:t>
      </w:r>
      <w:proofErr w:type="spellEnd"/>
      <w:r w:rsidRPr="00CE5E0D">
        <w:t xml:space="preserve"> элементов, применимых в интегральной фотонике, микроскопии и системах визуализации.</w:t>
      </w:r>
    </w:p>
    <w:p w14:paraId="4CEB81BE" w14:textId="77777777" w:rsidR="00420B23" w:rsidRPr="00420B23" w:rsidRDefault="00420B23" w:rsidP="00C53F57">
      <w:pPr>
        <w:pStyle w:val="a3"/>
        <w:rPr>
          <w:lang w:val="en-US"/>
        </w:rPr>
      </w:pPr>
      <w:r>
        <w:rPr>
          <w:rStyle w:val="a4"/>
        </w:rPr>
        <w:t>Литература</w:t>
      </w:r>
    </w:p>
    <w:p w14:paraId="01DD4512" w14:textId="77777777" w:rsidR="00420B23" w:rsidRPr="00420B23" w:rsidRDefault="00420B23" w:rsidP="00C53F57">
      <w:pPr>
        <w:pStyle w:val="a3"/>
        <w:rPr>
          <w:lang w:val="en-US"/>
        </w:rPr>
      </w:pPr>
      <w:r w:rsidRPr="00420B23">
        <w:rPr>
          <w:lang w:val="en-US"/>
        </w:rPr>
        <w:t xml:space="preserve">[1] Colburn S., Zhan A., Majumdar A. </w:t>
      </w:r>
      <w:proofErr w:type="spellStart"/>
      <w:r w:rsidRPr="00420B23">
        <w:rPr>
          <w:lang w:val="en-US"/>
        </w:rPr>
        <w:t>Metasurface</w:t>
      </w:r>
      <w:proofErr w:type="spellEnd"/>
      <w:r w:rsidRPr="00420B23">
        <w:rPr>
          <w:lang w:val="en-US"/>
        </w:rPr>
        <w:t xml:space="preserve"> optics for full-color computational imaging. </w:t>
      </w:r>
      <w:r w:rsidRPr="00420B23">
        <w:rPr>
          <w:rStyle w:val="a7"/>
          <w:lang w:val="en-US"/>
        </w:rPr>
        <w:t>Science Advances</w:t>
      </w:r>
      <w:r w:rsidRPr="00420B23">
        <w:rPr>
          <w:lang w:val="en-US"/>
        </w:rPr>
        <w:t>, 4(2), 2018.</w:t>
      </w:r>
    </w:p>
    <w:p w14:paraId="20AF7E5C" w14:textId="77777777" w:rsidR="00420B23" w:rsidRPr="001F2214" w:rsidRDefault="00420B23" w:rsidP="00C53F57">
      <w:pPr>
        <w:pStyle w:val="a3"/>
        <w:rPr>
          <w:lang w:val="en-US"/>
        </w:rPr>
      </w:pPr>
      <w:r w:rsidRPr="00420B23">
        <w:rPr>
          <w:lang w:val="en-US"/>
        </w:rPr>
        <w:t xml:space="preserve">[2] </w:t>
      </w:r>
      <w:proofErr w:type="spellStart"/>
      <w:r w:rsidRPr="00420B23">
        <w:rPr>
          <w:lang w:val="en-US"/>
        </w:rPr>
        <w:t>Žukauskas</w:t>
      </w:r>
      <w:proofErr w:type="spellEnd"/>
      <w:r w:rsidRPr="00420B23">
        <w:rPr>
          <w:lang w:val="en-US"/>
        </w:rPr>
        <w:t xml:space="preserve"> A., </w:t>
      </w:r>
      <w:proofErr w:type="spellStart"/>
      <w:r w:rsidRPr="00420B23">
        <w:rPr>
          <w:lang w:val="en-US"/>
        </w:rPr>
        <w:t>Batavičiūte</w:t>
      </w:r>
      <w:proofErr w:type="spellEnd"/>
      <w:r w:rsidRPr="00420B23">
        <w:rPr>
          <w:lang w:val="en-US"/>
        </w:rPr>
        <w:t xml:space="preserve">̇ G., </w:t>
      </w:r>
      <w:proofErr w:type="spellStart"/>
      <w:r w:rsidRPr="00420B23">
        <w:rPr>
          <w:lang w:val="en-US"/>
        </w:rPr>
        <w:t>Ščiuka</w:t>
      </w:r>
      <w:proofErr w:type="spellEnd"/>
      <w:r w:rsidRPr="00420B23">
        <w:rPr>
          <w:lang w:val="en-US"/>
        </w:rPr>
        <w:t xml:space="preserve"> M. et al. Effect of the </w:t>
      </w:r>
      <w:proofErr w:type="spellStart"/>
      <w:r w:rsidRPr="00420B23">
        <w:rPr>
          <w:lang w:val="en-US"/>
        </w:rPr>
        <w:t>photoinitiator</w:t>
      </w:r>
      <w:proofErr w:type="spellEnd"/>
      <w:r w:rsidRPr="00420B23">
        <w:rPr>
          <w:lang w:val="en-US"/>
        </w:rPr>
        <w:t xml:space="preserve"> presence and exposure conditions on laser-induced damage threshold of </w:t>
      </w:r>
      <w:proofErr w:type="spellStart"/>
      <w:r w:rsidRPr="00420B23">
        <w:rPr>
          <w:lang w:val="en-US"/>
        </w:rPr>
        <w:t>ormosil</w:t>
      </w:r>
      <w:proofErr w:type="spellEnd"/>
      <w:r w:rsidRPr="00420B23">
        <w:rPr>
          <w:lang w:val="en-US"/>
        </w:rPr>
        <w:t xml:space="preserve"> (SZ2080). </w:t>
      </w:r>
      <w:r w:rsidRPr="001F2214">
        <w:rPr>
          <w:rStyle w:val="a7"/>
          <w:lang w:val="en-US"/>
        </w:rPr>
        <w:t>Optical Materials</w:t>
      </w:r>
      <w:r w:rsidRPr="001F2214">
        <w:rPr>
          <w:lang w:val="en-US"/>
        </w:rPr>
        <w:t>, 39, 224–231 (2015).</w:t>
      </w:r>
    </w:p>
    <w:p w14:paraId="20C7E15C" w14:textId="77777777" w:rsidR="00420B23" w:rsidRPr="001F2214" w:rsidRDefault="00420B23" w:rsidP="00C53F57">
      <w:pPr>
        <w:pStyle w:val="a3"/>
        <w:rPr>
          <w:lang w:val="en-US"/>
        </w:rPr>
      </w:pPr>
    </w:p>
    <w:p w14:paraId="15145997" w14:textId="77777777" w:rsidR="0015532B" w:rsidRPr="001F2214" w:rsidRDefault="0015532B">
      <w:pPr>
        <w:rPr>
          <w:lang w:val="en-US"/>
        </w:rPr>
      </w:pPr>
    </w:p>
    <w:sectPr w:rsidR="0015532B" w:rsidRPr="001F2214" w:rsidSect="00C53F5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23"/>
    <w:rsid w:val="0015532B"/>
    <w:rsid w:val="001F2214"/>
    <w:rsid w:val="00420B23"/>
    <w:rsid w:val="00C2547F"/>
    <w:rsid w:val="00C53F57"/>
    <w:rsid w:val="00C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468C"/>
  <w15:chartTrackingRefBased/>
  <w15:docId w15:val="{25D1659B-2300-489F-A334-3CC07266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B23"/>
    <w:rPr>
      <w:b/>
      <w:bCs/>
    </w:rPr>
  </w:style>
  <w:style w:type="character" w:styleId="a5">
    <w:name w:val="Hyperlink"/>
    <w:basedOn w:val="a0"/>
    <w:uiPriority w:val="99"/>
    <w:unhideWhenUsed/>
    <w:rsid w:val="00420B2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20B23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420B23"/>
    <w:rPr>
      <w:i/>
      <w:iCs/>
    </w:rPr>
  </w:style>
  <w:style w:type="character" w:styleId="a8">
    <w:name w:val="Placeholder Text"/>
    <w:basedOn w:val="a0"/>
    <w:uiPriority w:val="99"/>
    <w:semiHidden/>
    <w:rsid w:val="00C53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tverin.rs20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 1</dc:creator>
  <cp:keywords/>
  <dc:description/>
  <cp:lastModifiedBy>Rodion 1</cp:lastModifiedBy>
  <cp:revision>3</cp:revision>
  <dcterms:created xsi:type="dcterms:W3CDTF">2026-02-25T07:32:00Z</dcterms:created>
  <dcterms:modified xsi:type="dcterms:W3CDTF">2026-02-25T08:16:00Z</dcterms:modified>
</cp:coreProperties>
</file>